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E39C4" w14:textId="33D8A531" w:rsidR="00297A4E" w:rsidRDefault="00297A4E" w:rsidP="52BB419B">
      <w:pPr>
        <w:jc w:val="both"/>
        <w:rPr>
          <w:rFonts w:ascii="Arial" w:hAnsi="Arial" w:cs="Arial"/>
          <w:b/>
          <w:bCs/>
        </w:rPr>
      </w:pPr>
      <w:r>
        <w:rPr>
          <w:rFonts w:ascii="Arial" w:hAnsi="Arial" w:cs="Arial"/>
          <w:b/>
          <w:bCs/>
          <w:noProof/>
        </w:rPr>
        <w:drawing>
          <wp:anchor distT="0" distB="0" distL="114300" distR="114300" simplePos="0" relativeHeight="251658240" behindDoc="1" locked="0" layoutInCell="1" allowOverlap="1" wp14:anchorId="47AA5FD8" wp14:editId="2D690D33">
            <wp:simplePos x="0" y="0"/>
            <wp:positionH relativeFrom="margin">
              <wp:align>center</wp:align>
            </wp:positionH>
            <wp:positionV relativeFrom="paragraph">
              <wp:posOffset>-614389</wp:posOffset>
            </wp:positionV>
            <wp:extent cx="9193259" cy="6955235"/>
            <wp:effectExtent l="0" t="0" r="8255"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7">
                      <a:extLst>
                        <a:ext uri="{28A0092B-C50C-407E-A947-70E740481C1C}">
                          <a14:useLocalDpi xmlns:a14="http://schemas.microsoft.com/office/drawing/2010/main" val="0"/>
                        </a:ext>
                      </a:extLst>
                    </a:blip>
                    <a:stretch>
                      <a:fillRect/>
                    </a:stretch>
                  </pic:blipFill>
                  <pic:spPr>
                    <a:xfrm>
                      <a:off x="0" y="0"/>
                      <a:ext cx="9193259" cy="6955235"/>
                    </a:xfrm>
                    <a:prstGeom prst="rect">
                      <a:avLst/>
                    </a:prstGeom>
                  </pic:spPr>
                </pic:pic>
              </a:graphicData>
            </a:graphic>
            <wp14:sizeRelH relativeFrom="page">
              <wp14:pctWidth>0</wp14:pctWidth>
            </wp14:sizeRelH>
            <wp14:sizeRelV relativeFrom="page">
              <wp14:pctHeight>0</wp14:pctHeight>
            </wp14:sizeRelV>
          </wp:anchor>
        </w:drawing>
      </w:r>
    </w:p>
    <w:p w14:paraId="1866C42C" w14:textId="1BB96EB4" w:rsidR="00297A4E" w:rsidRDefault="00297A4E" w:rsidP="52BB419B">
      <w:pPr>
        <w:jc w:val="both"/>
        <w:rPr>
          <w:rFonts w:ascii="Arial" w:hAnsi="Arial" w:cs="Arial"/>
          <w:b/>
          <w:bCs/>
        </w:rPr>
      </w:pPr>
    </w:p>
    <w:p w14:paraId="158EF689" w14:textId="77777777" w:rsidR="00297A4E" w:rsidRDefault="00297A4E" w:rsidP="52BB419B">
      <w:pPr>
        <w:jc w:val="both"/>
        <w:rPr>
          <w:rFonts w:ascii="Arial" w:hAnsi="Arial" w:cs="Arial"/>
          <w:b/>
          <w:bCs/>
        </w:rPr>
      </w:pPr>
    </w:p>
    <w:p w14:paraId="6B42EF77" w14:textId="77777777" w:rsidR="00297A4E" w:rsidRDefault="00297A4E" w:rsidP="52BB419B">
      <w:pPr>
        <w:jc w:val="both"/>
        <w:rPr>
          <w:rFonts w:ascii="Arial" w:hAnsi="Arial" w:cs="Arial"/>
          <w:b/>
          <w:bCs/>
        </w:rPr>
      </w:pPr>
    </w:p>
    <w:p w14:paraId="7A2390C3" w14:textId="77777777" w:rsidR="00297A4E" w:rsidRDefault="00297A4E" w:rsidP="52BB419B">
      <w:pPr>
        <w:jc w:val="both"/>
        <w:rPr>
          <w:rFonts w:ascii="Arial" w:hAnsi="Arial" w:cs="Arial"/>
          <w:b/>
          <w:bCs/>
        </w:rPr>
      </w:pPr>
    </w:p>
    <w:p w14:paraId="51659E4B" w14:textId="77777777" w:rsidR="00297A4E" w:rsidRDefault="00297A4E" w:rsidP="52BB419B">
      <w:pPr>
        <w:jc w:val="both"/>
        <w:rPr>
          <w:rFonts w:ascii="Arial" w:hAnsi="Arial" w:cs="Arial"/>
          <w:b/>
          <w:bCs/>
        </w:rPr>
      </w:pPr>
    </w:p>
    <w:p w14:paraId="583ED46E" w14:textId="77777777" w:rsidR="00297A4E" w:rsidRDefault="00297A4E" w:rsidP="52BB419B">
      <w:pPr>
        <w:jc w:val="both"/>
        <w:rPr>
          <w:rFonts w:ascii="Arial" w:hAnsi="Arial" w:cs="Arial"/>
          <w:b/>
          <w:bCs/>
        </w:rPr>
      </w:pPr>
    </w:p>
    <w:p w14:paraId="2661099F" w14:textId="77777777" w:rsidR="00297A4E" w:rsidRDefault="00297A4E" w:rsidP="52BB419B">
      <w:pPr>
        <w:jc w:val="both"/>
        <w:rPr>
          <w:rFonts w:ascii="Arial" w:hAnsi="Arial" w:cs="Arial"/>
          <w:b/>
          <w:bCs/>
        </w:rPr>
      </w:pPr>
    </w:p>
    <w:p w14:paraId="6433A40C" w14:textId="77777777" w:rsidR="00297A4E" w:rsidRDefault="00297A4E" w:rsidP="52BB419B">
      <w:pPr>
        <w:jc w:val="both"/>
        <w:rPr>
          <w:rFonts w:ascii="Arial" w:hAnsi="Arial" w:cs="Arial"/>
          <w:b/>
          <w:bCs/>
        </w:rPr>
      </w:pPr>
    </w:p>
    <w:p w14:paraId="4A30C892" w14:textId="77777777" w:rsidR="00297A4E" w:rsidRDefault="00297A4E" w:rsidP="52BB419B">
      <w:pPr>
        <w:jc w:val="both"/>
        <w:rPr>
          <w:rFonts w:ascii="Arial" w:hAnsi="Arial" w:cs="Arial"/>
          <w:b/>
          <w:bCs/>
        </w:rPr>
      </w:pPr>
    </w:p>
    <w:p w14:paraId="1B265A5C" w14:textId="77777777" w:rsidR="00297A4E" w:rsidRDefault="00297A4E" w:rsidP="52BB419B">
      <w:pPr>
        <w:jc w:val="both"/>
        <w:rPr>
          <w:rFonts w:ascii="Arial" w:hAnsi="Arial" w:cs="Arial"/>
          <w:b/>
          <w:bCs/>
        </w:rPr>
      </w:pPr>
    </w:p>
    <w:p w14:paraId="2C76E031" w14:textId="77777777" w:rsidR="00297A4E" w:rsidRDefault="00297A4E" w:rsidP="52BB419B">
      <w:pPr>
        <w:jc w:val="both"/>
        <w:rPr>
          <w:rFonts w:ascii="Arial" w:hAnsi="Arial" w:cs="Arial"/>
          <w:b/>
          <w:bCs/>
        </w:rPr>
      </w:pPr>
    </w:p>
    <w:p w14:paraId="38E806C2" w14:textId="0C263997" w:rsidR="00297A4E" w:rsidRDefault="00CC0953" w:rsidP="52BB419B">
      <w:pPr>
        <w:jc w:val="both"/>
        <w:rPr>
          <w:rFonts w:ascii="Arial" w:hAnsi="Arial" w:cs="Arial"/>
          <w:b/>
          <w:bCs/>
        </w:rPr>
      </w:pPr>
      <w:r w:rsidRPr="00CC0953">
        <w:rPr>
          <w:rFonts w:ascii="Arial" w:hAnsi="Arial" w:cs="Arial"/>
          <w:b/>
          <w:bCs/>
          <w:noProof/>
        </w:rPr>
        <mc:AlternateContent>
          <mc:Choice Requires="wps">
            <w:drawing>
              <wp:anchor distT="45720" distB="45720" distL="114300" distR="114300" simplePos="0" relativeHeight="251660288" behindDoc="1" locked="0" layoutInCell="1" allowOverlap="1" wp14:anchorId="035AA0D2" wp14:editId="0DE08286">
                <wp:simplePos x="0" y="0"/>
                <wp:positionH relativeFrom="column">
                  <wp:posOffset>285750</wp:posOffset>
                </wp:positionH>
                <wp:positionV relativeFrom="paragraph">
                  <wp:posOffset>253365</wp:posOffset>
                </wp:positionV>
                <wp:extent cx="1085850" cy="1404620"/>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850" cy="1404620"/>
                        </a:xfrm>
                        <a:prstGeom prst="rect">
                          <a:avLst/>
                        </a:prstGeom>
                        <a:noFill/>
                        <a:ln w="9525">
                          <a:noFill/>
                          <a:miter lim="800000"/>
                          <a:headEnd/>
                          <a:tailEnd/>
                        </a:ln>
                      </wps:spPr>
                      <wps:txbx>
                        <w:txbxContent>
                          <w:p w14:paraId="038B171B" w14:textId="484BBC66" w:rsidR="00CC0953" w:rsidRPr="00CC0953" w:rsidRDefault="00CC0953">
                            <w:pPr>
                              <w:rPr>
                                <w:b/>
                                <w:bCs/>
                                <w:color w:val="FFFFFF" w:themeColor="background1"/>
                                <w:sz w:val="40"/>
                                <w:szCs w:val="40"/>
                              </w:rPr>
                            </w:pPr>
                            <w:r w:rsidRPr="00CC0953">
                              <w:rPr>
                                <w:b/>
                                <w:bCs/>
                                <w:color w:val="FFFFFF" w:themeColor="background1"/>
                                <w:sz w:val="40"/>
                                <w:szCs w:val="40"/>
                              </w:rPr>
                              <w:t>6.1.1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35AA0D2" id="_x0000_t202" coordsize="21600,21600" o:spt="202" path="m,l,21600r21600,l21600,xe">
                <v:stroke joinstyle="miter"/>
                <v:path gradientshapeok="t" o:connecttype="rect"/>
              </v:shapetype>
              <v:shape id="Cuadro de texto 2" o:spid="_x0000_s1026" type="#_x0000_t202" style="position:absolute;left:0;text-align:left;margin-left:22.5pt;margin-top:19.95pt;width:85.5pt;height:110.6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" filled="f" stroked="f">
                <v:textbox style="mso-fit-shape-to-text:t">
                  <w:txbxContent>
                    <w:p w14:paraId="038B171B" w14:textId="484BBC66" w:rsidR="00CC0953" w:rsidRPr="00CC0953" w:rsidRDefault="00CC0953">
                      <w:pPr>
                        <w:rPr>
                          <w:b/>
                          <w:bCs/>
                          <w:color w:val="FFFFFF" w:themeColor="background1"/>
                          <w:sz w:val="40"/>
                          <w:szCs w:val="40"/>
                        </w:rPr>
                      </w:pPr>
                      <w:r w:rsidRPr="00CC0953">
                        <w:rPr>
                          <w:b/>
                          <w:bCs/>
                          <w:color w:val="FFFFFF" w:themeColor="background1"/>
                          <w:sz w:val="40"/>
                          <w:szCs w:val="40"/>
                        </w:rPr>
                        <w:t>6.1.1</w:t>
                      </w:r>
                    </w:p>
                  </w:txbxContent>
                </v:textbox>
              </v:shape>
            </w:pict>
          </mc:Fallback>
        </mc:AlternateContent>
      </w:r>
    </w:p>
    <w:p w14:paraId="24AC017B" w14:textId="77E7A15C" w:rsidR="00297A4E" w:rsidRDefault="00297A4E" w:rsidP="52BB419B">
      <w:pPr>
        <w:jc w:val="both"/>
        <w:rPr>
          <w:rFonts w:ascii="Arial" w:hAnsi="Arial" w:cs="Arial"/>
          <w:b/>
          <w:bCs/>
        </w:rPr>
      </w:pPr>
    </w:p>
    <w:p w14:paraId="20681DD2" w14:textId="77777777" w:rsidR="00297A4E" w:rsidRDefault="00297A4E" w:rsidP="52BB419B">
      <w:pPr>
        <w:jc w:val="both"/>
        <w:rPr>
          <w:rFonts w:ascii="Arial" w:hAnsi="Arial" w:cs="Arial"/>
          <w:b/>
          <w:bCs/>
        </w:rPr>
      </w:pPr>
    </w:p>
    <w:p w14:paraId="7CD07D13" w14:textId="77777777" w:rsidR="00297A4E" w:rsidRDefault="00297A4E" w:rsidP="52BB419B">
      <w:pPr>
        <w:jc w:val="both"/>
        <w:rPr>
          <w:rFonts w:ascii="Arial" w:hAnsi="Arial" w:cs="Arial"/>
          <w:b/>
          <w:bCs/>
        </w:rPr>
      </w:pPr>
    </w:p>
    <w:p w14:paraId="7A4B88CF" w14:textId="77777777" w:rsidR="00297A4E" w:rsidRDefault="00297A4E" w:rsidP="52BB419B">
      <w:pPr>
        <w:jc w:val="both"/>
        <w:rPr>
          <w:rFonts w:ascii="Arial" w:hAnsi="Arial" w:cs="Arial"/>
          <w:b/>
          <w:bCs/>
        </w:rPr>
      </w:pPr>
    </w:p>
    <w:p w14:paraId="431DBF22" w14:textId="77777777" w:rsidR="00297A4E" w:rsidRDefault="00297A4E" w:rsidP="52BB419B">
      <w:pPr>
        <w:jc w:val="both"/>
        <w:rPr>
          <w:rFonts w:ascii="Arial" w:hAnsi="Arial" w:cs="Arial"/>
          <w:b/>
          <w:bCs/>
        </w:rPr>
      </w:pPr>
    </w:p>
    <w:p w14:paraId="44E89EB4" w14:textId="77777777" w:rsidR="00297A4E" w:rsidRDefault="00297A4E" w:rsidP="52BB419B">
      <w:pPr>
        <w:jc w:val="both"/>
        <w:rPr>
          <w:rFonts w:ascii="Arial" w:hAnsi="Arial" w:cs="Arial"/>
          <w:b/>
          <w:bCs/>
        </w:rPr>
      </w:pPr>
    </w:p>
    <w:p w14:paraId="1C62B003" w14:textId="77777777" w:rsidR="00297A4E" w:rsidRDefault="00297A4E" w:rsidP="52BB419B">
      <w:pPr>
        <w:jc w:val="both"/>
        <w:rPr>
          <w:rFonts w:ascii="Arial" w:hAnsi="Arial" w:cs="Arial"/>
          <w:b/>
          <w:bCs/>
        </w:rPr>
      </w:pPr>
    </w:p>
    <w:p w14:paraId="599497DA" w14:textId="77777777" w:rsidR="00297A4E" w:rsidRDefault="00297A4E" w:rsidP="52BB419B">
      <w:pPr>
        <w:jc w:val="both"/>
        <w:rPr>
          <w:rFonts w:ascii="Arial" w:hAnsi="Arial" w:cs="Arial"/>
          <w:b/>
          <w:bCs/>
        </w:rPr>
      </w:pPr>
    </w:p>
    <w:p w14:paraId="5C1A07E2" w14:textId="084BB28F" w:rsidR="000C1B1B" w:rsidRPr="00821C4C" w:rsidRDefault="00864328" w:rsidP="52BB419B">
      <w:pPr>
        <w:jc w:val="both"/>
        <w:rPr>
          <w:rFonts w:ascii="Arial" w:hAnsi="Arial" w:cs="Arial"/>
          <w:b/>
          <w:bCs/>
        </w:rPr>
      </w:pPr>
      <w:r>
        <w:rPr>
          <w:rFonts w:ascii="Arial" w:hAnsi="Arial" w:cs="Arial"/>
          <w:b/>
          <w:bCs/>
        </w:rPr>
        <w:lastRenderedPageBreak/>
        <w:t>6</w:t>
      </w:r>
      <w:r w:rsidR="16F3638A" w:rsidRPr="00821C4C">
        <w:rPr>
          <w:rFonts w:ascii="Arial" w:hAnsi="Arial" w:cs="Arial"/>
          <w:b/>
          <w:bCs/>
        </w:rPr>
        <w:t>.</w:t>
      </w:r>
      <w:r>
        <w:rPr>
          <w:rFonts w:ascii="Arial" w:hAnsi="Arial" w:cs="Arial"/>
          <w:b/>
          <w:bCs/>
        </w:rPr>
        <w:t>1.</w:t>
      </w:r>
      <w:r w:rsidR="00D146D1" w:rsidRPr="00821C4C">
        <w:rPr>
          <w:rFonts w:ascii="Arial" w:hAnsi="Arial" w:cs="Arial"/>
          <w:b/>
          <w:bCs/>
        </w:rPr>
        <w:t>1 PROGRAMA DE CALIDAD UNIVERSITARIA</w:t>
      </w:r>
    </w:p>
    <w:p w14:paraId="562464C0" w14:textId="05C36F94" w:rsidR="679B8380" w:rsidRPr="001577FA" w:rsidRDefault="679B8380" w:rsidP="679B8380">
      <w:pPr>
        <w:jc w:val="both"/>
        <w:rPr>
          <w:rFonts w:ascii="Arial" w:hAnsi="Arial" w:cs="Arial"/>
          <w:b/>
          <w:bCs/>
          <w:sz w:val="20"/>
          <w:szCs w:val="20"/>
        </w:rPr>
      </w:pPr>
      <w:r w:rsidRPr="001577FA">
        <w:rPr>
          <w:rFonts w:ascii="Arial" w:hAnsi="Arial" w:cs="Arial"/>
          <w:b/>
          <w:bCs/>
          <w:sz w:val="20"/>
          <w:szCs w:val="20"/>
        </w:rPr>
        <w:t xml:space="preserve">Director Nacional: </w:t>
      </w:r>
      <w:r w:rsidRPr="001577FA">
        <w:rPr>
          <w:rFonts w:ascii="Arial" w:hAnsi="Arial" w:cs="Arial"/>
          <w:sz w:val="20"/>
          <w:szCs w:val="20"/>
        </w:rPr>
        <w:t>Mg. Daniel López</w:t>
      </w:r>
    </w:p>
    <w:p w14:paraId="21D1E1A1" w14:textId="143DE0B5" w:rsidR="16F3638A" w:rsidRPr="001577FA" w:rsidRDefault="16F3638A" w:rsidP="08CE77B7">
      <w:pPr>
        <w:jc w:val="both"/>
        <w:rPr>
          <w:rFonts w:ascii="Arial" w:hAnsi="Arial" w:cs="Arial"/>
          <w:sz w:val="20"/>
          <w:szCs w:val="20"/>
        </w:rPr>
      </w:pPr>
      <w:r w:rsidRPr="001577FA">
        <w:rPr>
          <w:rFonts w:ascii="Arial" w:hAnsi="Arial" w:cs="Arial"/>
          <w:b/>
          <w:bCs/>
          <w:sz w:val="20"/>
          <w:szCs w:val="20"/>
        </w:rPr>
        <w:t xml:space="preserve">Coordinación: </w:t>
      </w:r>
      <w:r w:rsidRPr="001577FA">
        <w:rPr>
          <w:rFonts w:ascii="Arial" w:hAnsi="Arial" w:cs="Arial"/>
          <w:sz w:val="20"/>
          <w:szCs w:val="20"/>
        </w:rPr>
        <w:t>Mg. Yanina Armentano – Lic. Mariana Fernández</w:t>
      </w:r>
      <w:r w:rsidR="76BE898F" w:rsidRPr="001577FA">
        <w:rPr>
          <w:rFonts w:ascii="Arial" w:hAnsi="Arial" w:cs="Arial"/>
          <w:sz w:val="20"/>
          <w:szCs w:val="20"/>
        </w:rPr>
        <w:t>.</w:t>
      </w:r>
    </w:p>
    <w:p w14:paraId="1815B918" w14:textId="4250FA44" w:rsidR="76BE898F" w:rsidRPr="001577FA" w:rsidRDefault="76BE898F" w:rsidP="08CE77B7">
      <w:pPr>
        <w:jc w:val="both"/>
        <w:rPr>
          <w:rFonts w:ascii="Arial" w:hAnsi="Arial" w:cs="Arial"/>
          <w:sz w:val="20"/>
          <w:szCs w:val="20"/>
        </w:rPr>
      </w:pPr>
      <w:r w:rsidRPr="001577FA">
        <w:rPr>
          <w:rFonts w:ascii="Arial" w:hAnsi="Arial" w:cs="Arial"/>
          <w:b/>
          <w:bCs/>
          <w:sz w:val="20"/>
          <w:szCs w:val="20"/>
        </w:rPr>
        <w:t>Equipo Técnico y Contable:</w:t>
      </w:r>
      <w:r w:rsidRPr="001577FA">
        <w:rPr>
          <w:rFonts w:ascii="Arial" w:hAnsi="Arial" w:cs="Arial"/>
          <w:sz w:val="20"/>
          <w:szCs w:val="20"/>
        </w:rPr>
        <w:t xml:space="preserve"> Florencia Camerano, Marcela Imperiale, Florencia Foa, Natalia Gil, Cecilia Benitez, Carolina Rossi, Jimena Pollini, Ana Kinzel, Jorge Ripari, Eugenia Vázquez, Alicia Rapacioli</w:t>
      </w:r>
      <w:r w:rsidR="00272DA7" w:rsidRPr="001577FA">
        <w:rPr>
          <w:rFonts w:ascii="Arial" w:hAnsi="Arial" w:cs="Arial"/>
          <w:sz w:val="20"/>
          <w:szCs w:val="20"/>
        </w:rPr>
        <w:t>.</w:t>
      </w:r>
    </w:p>
    <w:p w14:paraId="4C16E1A9" w14:textId="484C21DA" w:rsidR="76BE898F" w:rsidRPr="001577FA" w:rsidRDefault="76BE898F" w:rsidP="08CE77B7">
      <w:pPr>
        <w:jc w:val="both"/>
        <w:rPr>
          <w:rFonts w:ascii="Arial" w:hAnsi="Arial" w:cs="Arial"/>
          <w:sz w:val="20"/>
          <w:szCs w:val="20"/>
        </w:rPr>
      </w:pPr>
      <w:r w:rsidRPr="001577FA">
        <w:rPr>
          <w:rFonts w:ascii="Arial" w:hAnsi="Arial" w:cs="Arial"/>
          <w:b/>
          <w:bCs/>
          <w:sz w:val="20"/>
          <w:szCs w:val="20"/>
        </w:rPr>
        <w:t>Ubicación física:</w:t>
      </w:r>
      <w:r w:rsidRPr="001577FA">
        <w:rPr>
          <w:rFonts w:ascii="Arial" w:hAnsi="Arial" w:cs="Arial"/>
          <w:sz w:val="20"/>
          <w:szCs w:val="20"/>
        </w:rPr>
        <w:t xml:space="preserve"> Pizzurno 935, Piso 2, oficinas 204, 205 y 223. Ciudad Autónoma de Buenos Aires (C1020ACA).</w:t>
      </w:r>
    </w:p>
    <w:p w14:paraId="50703AE6" w14:textId="638A97B0" w:rsidR="76BE898F" w:rsidRPr="001577FA" w:rsidRDefault="76BE898F" w:rsidP="08CE77B7">
      <w:pPr>
        <w:jc w:val="both"/>
        <w:rPr>
          <w:rFonts w:ascii="Arial" w:hAnsi="Arial" w:cs="Arial"/>
          <w:sz w:val="20"/>
          <w:szCs w:val="20"/>
        </w:rPr>
      </w:pPr>
      <w:r w:rsidRPr="001577FA">
        <w:rPr>
          <w:rFonts w:ascii="Arial" w:hAnsi="Arial" w:cs="Arial"/>
          <w:b/>
          <w:bCs/>
          <w:sz w:val="20"/>
          <w:szCs w:val="20"/>
        </w:rPr>
        <w:t>Teléfono</w:t>
      </w:r>
      <w:r w:rsidRPr="001577FA">
        <w:rPr>
          <w:rFonts w:ascii="Arial" w:hAnsi="Arial" w:cs="Arial"/>
          <w:sz w:val="20"/>
          <w:szCs w:val="20"/>
        </w:rPr>
        <w:t xml:space="preserve">: (54)(11) 4129-1130 | </w:t>
      </w:r>
      <w:r w:rsidRPr="001577FA">
        <w:rPr>
          <w:rFonts w:ascii="Arial" w:hAnsi="Arial" w:cs="Arial"/>
          <w:b/>
          <w:bCs/>
          <w:sz w:val="20"/>
          <w:szCs w:val="20"/>
        </w:rPr>
        <w:t>Correo electrónico:</w:t>
      </w:r>
      <w:r w:rsidRPr="001577FA">
        <w:rPr>
          <w:rFonts w:ascii="Arial" w:hAnsi="Arial" w:cs="Arial"/>
          <w:sz w:val="20"/>
          <w:szCs w:val="20"/>
        </w:rPr>
        <w:t xml:space="preserve"> </w:t>
      </w:r>
      <w:hyperlink r:id="rId8">
        <w:r w:rsidRPr="001577FA">
          <w:rPr>
            <w:rStyle w:val="Hipervnculo"/>
            <w:rFonts w:ascii="Arial" w:hAnsi="Arial" w:cs="Arial"/>
            <w:sz w:val="20"/>
            <w:szCs w:val="20"/>
          </w:rPr>
          <w:t>spucalidad@educacion.gob.ar</w:t>
        </w:r>
      </w:hyperlink>
    </w:p>
    <w:p w14:paraId="43779993" w14:textId="42636D18" w:rsidR="08CE77B7" w:rsidRPr="001577FA" w:rsidRDefault="08CE77B7" w:rsidP="08CE77B7">
      <w:pPr>
        <w:jc w:val="both"/>
        <w:rPr>
          <w:rFonts w:ascii="Arial" w:hAnsi="Arial" w:cs="Arial"/>
          <w:sz w:val="20"/>
          <w:szCs w:val="20"/>
        </w:rPr>
      </w:pPr>
    </w:p>
    <w:p w14:paraId="539EB4FD" w14:textId="64A8C2A6" w:rsidR="0E33CDB5" w:rsidRPr="001577FA" w:rsidRDefault="0E33CDB5" w:rsidP="08CE77B7">
      <w:pPr>
        <w:jc w:val="both"/>
        <w:rPr>
          <w:rFonts w:ascii="Arial" w:hAnsi="Arial" w:cs="Arial"/>
          <w:b/>
          <w:bCs/>
          <w:sz w:val="20"/>
          <w:szCs w:val="20"/>
        </w:rPr>
      </w:pPr>
      <w:r w:rsidRPr="001577FA">
        <w:rPr>
          <w:rFonts w:ascii="Arial" w:hAnsi="Arial" w:cs="Arial"/>
          <w:b/>
          <w:bCs/>
          <w:sz w:val="20"/>
          <w:szCs w:val="20"/>
        </w:rPr>
        <w:t>Descripción</w:t>
      </w:r>
    </w:p>
    <w:p w14:paraId="07ED38B5" w14:textId="4D4302B3" w:rsidR="0E33CDB5" w:rsidRPr="001577FA" w:rsidRDefault="0E33CDB5" w:rsidP="08CE77B7">
      <w:pPr>
        <w:jc w:val="both"/>
        <w:rPr>
          <w:rFonts w:ascii="Arial" w:hAnsi="Arial" w:cs="Arial"/>
          <w:sz w:val="20"/>
          <w:szCs w:val="20"/>
        </w:rPr>
      </w:pPr>
      <w:r w:rsidRPr="001577FA">
        <w:rPr>
          <w:rFonts w:ascii="Arial" w:hAnsi="Arial" w:cs="Arial"/>
          <w:sz w:val="20"/>
          <w:szCs w:val="20"/>
        </w:rPr>
        <w:t>El Programa de Calidad Universitaria</w:t>
      </w:r>
      <w:r w:rsidR="4CD8B2E6" w:rsidRPr="001577FA">
        <w:rPr>
          <w:rFonts w:ascii="Arial" w:hAnsi="Arial" w:cs="Arial"/>
          <w:sz w:val="20"/>
          <w:szCs w:val="20"/>
        </w:rPr>
        <w:t xml:space="preserve"> tiene como misión diseñar y ejecutar políticas y estrategias de mejoramiento de la calidad y eficiencia del sistema de </w:t>
      </w:r>
      <w:r w:rsidR="16E26F94" w:rsidRPr="001577FA">
        <w:rPr>
          <w:rFonts w:ascii="Arial" w:hAnsi="Arial" w:cs="Arial"/>
          <w:sz w:val="20"/>
          <w:szCs w:val="20"/>
        </w:rPr>
        <w:t>educación</w:t>
      </w:r>
      <w:r w:rsidR="4CD8B2E6" w:rsidRPr="001577FA">
        <w:rPr>
          <w:rFonts w:ascii="Arial" w:hAnsi="Arial" w:cs="Arial"/>
          <w:sz w:val="20"/>
          <w:szCs w:val="20"/>
        </w:rPr>
        <w:t xml:space="preserve"> superior, a </w:t>
      </w:r>
      <w:r w:rsidR="22090458" w:rsidRPr="001577FA">
        <w:rPr>
          <w:rFonts w:ascii="Arial" w:hAnsi="Arial" w:cs="Arial"/>
          <w:sz w:val="20"/>
          <w:szCs w:val="20"/>
        </w:rPr>
        <w:t>través</w:t>
      </w:r>
      <w:r w:rsidR="4CD8B2E6" w:rsidRPr="001577FA">
        <w:rPr>
          <w:rFonts w:ascii="Arial" w:hAnsi="Arial" w:cs="Arial"/>
          <w:sz w:val="20"/>
          <w:szCs w:val="20"/>
        </w:rPr>
        <w:t xml:space="preserve"> de diferentes </w:t>
      </w:r>
      <w:r w:rsidR="5EBCA856" w:rsidRPr="001577FA">
        <w:rPr>
          <w:rFonts w:ascii="Arial" w:hAnsi="Arial" w:cs="Arial"/>
          <w:sz w:val="20"/>
          <w:szCs w:val="20"/>
        </w:rPr>
        <w:t>líneas</w:t>
      </w:r>
      <w:r w:rsidR="4CD8B2E6" w:rsidRPr="001577FA">
        <w:rPr>
          <w:rFonts w:ascii="Arial" w:hAnsi="Arial" w:cs="Arial"/>
          <w:sz w:val="20"/>
          <w:szCs w:val="20"/>
        </w:rPr>
        <w:t xml:space="preserve"> de trabajo y programas, con vistas a generar un sistemas </w:t>
      </w:r>
      <w:r w:rsidR="4CA64C63" w:rsidRPr="001577FA">
        <w:rPr>
          <w:rFonts w:ascii="Arial" w:hAnsi="Arial" w:cs="Arial"/>
          <w:sz w:val="20"/>
          <w:szCs w:val="20"/>
        </w:rPr>
        <w:t>más</w:t>
      </w:r>
      <w:r w:rsidR="4CD8B2E6" w:rsidRPr="001577FA">
        <w:rPr>
          <w:rFonts w:ascii="Arial" w:hAnsi="Arial" w:cs="Arial"/>
          <w:sz w:val="20"/>
          <w:szCs w:val="20"/>
        </w:rPr>
        <w:t xml:space="preserve"> integrado y planificado, con</w:t>
      </w:r>
      <w:r w:rsidR="3D555081" w:rsidRPr="001577FA">
        <w:rPr>
          <w:rFonts w:ascii="Arial" w:hAnsi="Arial" w:cs="Arial"/>
          <w:sz w:val="20"/>
          <w:szCs w:val="20"/>
        </w:rPr>
        <w:t xml:space="preserve"> aprovechamiento de la oferta académica y pertinencia y vinculación con lo territorial y productivo de cada región.</w:t>
      </w:r>
    </w:p>
    <w:p w14:paraId="41D842FA" w14:textId="4D077B75" w:rsidR="3D555081" w:rsidRPr="001577FA" w:rsidRDefault="3D555081" w:rsidP="08CE77B7">
      <w:pPr>
        <w:jc w:val="both"/>
        <w:rPr>
          <w:rFonts w:ascii="Arial" w:hAnsi="Arial" w:cs="Arial"/>
          <w:sz w:val="20"/>
          <w:szCs w:val="20"/>
        </w:rPr>
      </w:pPr>
      <w:r w:rsidRPr="001577FA">
        <w:rPr>
          <w:rFonts w:ascii="Arial" w:hAnsi="Arial" w:cs="Arial"/>
          <w:sz w:val="20"/>
          <w:szCs w:val="20"/>
        </w:rPr>
        <w:t>Para ello, se propone los siguientes objetivos</w:t>
      </w:r>
      <w:r w:rsidR="230E597E" w:rsidRPr="001577FA">
        <w:rPr>
          <w:rFonts w:ascii="Arial" w:hAnsi="Arial" w:cs="Arial"/>
          <w:sz w:val="20"/>
          <w:szCs w:val="20"/>
        </w:rPr>
        <w:t>:</w:t>
      </w:r>
    </w:p>
    <w:p w14:paraId="102A8FA8" w14:textId="15E3436A" w:rsidR="2B7E9BB3" w:rsidRPr="001577FA" w:rsidRDefault="2B7E9BB3" w:rsidP="08CE77B7">
      <w:pPr>
        <w:pStyle w:val="Prrafodelista"/>
        <w:numPr>
          <w:ilvl w:val="0"/>
          <w:numId w:val="3"/>
        </w:numPr>
        <w:jc w:val="both"/>
        <w:rPr>
          <w:rFonts w:ascii="Arial" w:eastAsiaTheme="minorEastAsia" w:hAnsi="Arial" w:cs="Arial"/>
          <w:sz w:val="20"/>
          <w:szCs w:val="20"/>
        </w:rPr>
      </w:pPr>
      <w:r w:rsidRPr="001577FA">
        <w:rPr>
          <w:rFonts w:ascii="Arial" w:hAnsi="Arial" w:cs="Arial"/>
          <w:sz w:val="20"/>
          <w:szCs w:val="20"/>
        </w:rPr>
        <w:t>Diseño e implementación de políticas tendientes al logro de mayores niveles de Calidad Universitaria en las siguientes dimensiones:</w:t>
      </w:r>
    </w:p>
    <w:p w14:paraId="28BE179C" w14:textId="1DBB9544" w:rsidR="2B7E9BB3" w:rsidRPr="001577FA" w:rsidRDefault="2B7E9BB3" w:rsidP="08CE77B7">
      <w:pPr>
        <w:pStyle w:val="Prrafodelista"/>
        <w:numPr>
          <w:ilvl w:val="0"/>
          <w:numId w:val="5"/>
        </w:numPr>
        <w:jc w:val="both"/>
        <w:rPr>
          <w:rFonts w:ascii="Arial" w:eastAsiaTheme="minorEastAsia" w:hAnsi="Arial" w:cs="Arial"/>
          <w:sz w:val="20"/>
          <w:szCs w:val="20"/>
        </w:rPr>
      </w:pPr>
      <w:r w:rsidRPr="001577FA">
        <w:rPr>
          <w:rFonts w:ascii="Arial" w:hAnsi="Arial" w:cs="Arial"/>
          <w:sz w:val="20"/>
          <w:szCs w:val="20"/>
        </w:rPr>
        <w:t>CALIDAD DEL SISTEMA en sus grados de integración y articulación, en relación con las necesidades de la sociedad y en función de la pertinencia y equidad.</w:t>
      </w:r>
    </w:p>
    <w:p w14:paraId="771B39A1" w14:textId="74F8AB61" w:rsidR="2B7E9BB3" w:rsidRPr="001577FA" w:rsidRDefault="2B7E9BB3" w:rsidP="08CE77B7">
      <w:pPr>
        <w:pStyle w:val="Prrafodelista"/>
        <w:numPr>
          <w:ilvl w:val="0"/>
          <w:numId w:val="5"/>
        </w:numPr>
        <w:jc w:val="both"/>
        <w:rPr>
          <w:rFonts w:ascii="Arial" w:eastAsiaTheme="minorEastAsia" w:hAnsi="Arial" w:cs="Arial"/>
          <w:sz w:val="20"/>
          <w:szCs w:val="20"/>
        </w:rPr>
      </w:pPr>
      <w:r w:rsidRPr="001577FA">
        <w:rPr>
          <w:rFonts w:ascii="Arial" w:hAnsi="Arial" w:cs="Arial"/>
          <w:sz w:val="20"/>
          <w:szCs w:val="20"/>
        </w:rPr>
        <w:t>CALIDAD DE LAS CARRERAS UNIVERSITARIAS en los procesos de enseñanza y de aprendizaje y sus resultados para la formación de recursos humanos de alta calidad, tanto profesionales como científicos.</w:t>
      </w:r>
    </w:p>
    <w:p w14:paraId="41F9B58E" w14:textId="44035ED3" w:rsidR="2B7E9BB3" w:rsidRPr="001577FA" w:rsidRDefault="2B7E9BB3" w:rsidP="08CE77B7">
      <w:pPr>
        <w:pStyle w:val="Prrafodelista"/>
        <w:numPr>
          <w:ilvl w:val="0"/>
          <w:numId w:val="5"/>
        </w:numPr>
        <w:jc w:val="both"/>
        <w:rPr>
          <w:rFonts w:ascii="Arial" w:eastAsiaTheme="minorEastAsia" w:hAnsi="Arial" w:cs="Arial"/>
          <w:sz w:val="20"/>
          <w:szCs w:val="20"/>
        </w:rPr>
      </w:pPr>
      <w:r w:rsidRPr="001577FA">
        <w:rPr>
          <w:rFonts w:ascii="Arial" w:hAnsi="Arial" w:cs="Arial"/>
          <w:sz w:val="20"/>
          <w:szCs w:val="20"/>
        </w:rPr>
        <w:t xml:space="preserve">CALIDAD DE LOS PROCESOS DE PRODUCCIÓN Y TRANSFERENCIA de conocimientos: contribuyendo a la consolidación de un sistema nacional de innovación. </w:t>
      </w:r>
    </w:p>
    <w:p w14:paraId="52B86100" w14:textId="2A98F372" w:rsidR="2B7E9BB3" w:rsidRPr="001577FA" w:rsidRDefault="2B7E9BB3" w:rsidP="08CE77B7">
      <w:pPr>
        <w:pStyle w:val="Prrafodelista"/>
        <w:numPr>
          <w:ilvl w:val="0"/>
          <w:numId w:val="5"/>
        </w:numPr>
        <w:jc w:val="both"/>
        <w:rPr>
          <w:rFonts w:ascii="Arial" w:eastAsiaTheme="minorEastAsia" w:hAnsi="Arial" w:cs="Arial"/>
          <w:sz w:val="20"/>
          <w:szCs w:val="20"/>
        </w:rPr>
      </w:pPr>
      <w:r w:rsidRPr="001577FA">
        <w:rPr>
          <w:rFonts w:ascii="Arial" w:hAnsi="Arial" w:cs="Arial"/>
          <w:sz w:val="20"/>
          <w:szCs w:val="20"/>
        </w:rPr>
        <w:t xml:space="preserve">CALIDAD INSTITUCIONAL: fortaleciendo las capacidades y mecanismos de gobierno y gestión de las universidades. </w:t>
      </w:r>
    </w:p>
    <w:p w14:paraId="22A72474" w14:textId="76E2A469" w:rsidR="2B7E9BB3" w:rsidRPr="001577FA" w:rsidRDefault="2B7E9BB3" w:rsidP="08CE77B7">
      <w:pPr>
        <w:pStyle w:val="Prrafodelista"/>
        <w:numPr>
          <w:ilvl w:val="0"/>
          <w:numId w:val="2"/>
        </w:numPr>
        <w:jc w:val="both"/>
        <w:rPr>
          <w:rFonts w:ascii="Arial" w:eastAsiaTheme="minorEastAsia" w:hAnsi="Arial" w:cs="Arial"/>
          <w:sz w:val="20"/>
          <w:szCs w:val="20"/>
        </w:rPr>
      </w:pPr>
      <w:r w:rsidRPr="001577FA">
        <w:rPr>
          <w:rFonts w:ascii="Arial" w:hAnsi="Arial" w:cs="Arial"/>
          <w:sz w:val="20"/>
          <w:szCs w:val="20"/>
        </w:rPr>
        <w:t>Convergencia, complementación y coherencia entre las políticas de evaluación, de aseguramiento y control, de financiamiento y de promoción de la calidad desde una perspectiva multidimensional.</w:t>
      </w:r>
    </w:p>
    <w:p w14:paraId="19E3CB15" w14:textId="5326AB1F" w:rsidR="08CE77B7" w:rsidRPr="001577FA" w:rsidRDefault="08CE77B7" w:rsidP="08CE77B7">
      <w:pPr>
        <w:jc w:val="both"/>
        <w:rPr>
          <w:rFonts w:ascii="Arial" w:hAnsi="Arial" w:cs="Arial"/>
          <w:sz w:val="20"/>
          <w:szCs w:val="20"/>
        </w:rPr>
      </w:pPr>
    </w:p>
    <w:p w14:paraId="569A00EA" w14:textId="5DFC1552" w:rsidR="08E47337" w:rsidRPr="001577FA" w:rsidRDefault="08E47337" w:rsidP="08CE77B7">
      <w:pPr>
        <w:jc w:val="both"/>
        <w:rPr>
          <w:rFonts w:ascii="Arial" w:hAnsi="Arial" w:cs="Arial"/>
          <w:sz w:val="20"/>
          <w:szCs w:val="20"/>
        </w:rPr>
      </w:pPr>
      <w:r w:rsidRPr="001577FA">
        <w:rPr>
          <w:rFonts w:ascii="Arial" w:hAnsi="Arial" w:cs="Arial"/>
          <w:sz w:val="20"/>
          <w:szCs w:val="20"/>
        </w:rPr>
        <w:t>E</w:t>
      </w:r>
      <w:r w:rsidR="7F68AB9E" w:rsidRPr="001577FA">
        <w:rPr>
          <w:rFonts w:ascii="Arial" w:hAnsi="Arial" w:cs="Arial"/>
          <w:sz w:val="20"/>
          <w:szCs w:val="20"/>
        </w:rPr>
        <w:t>stos objetivos se desarro</w:t>
      </w:r>
      <w:r w:rsidR="3BD9C492" w:rsidRPr="001577FA">
        <w:rPr>
          <w:rFonts w:ascii="Arial" w:hAnsi="Arial" w:cs="Arial"/>
          <w:sz w:val="20"/>
          <w:szCs w:val="20"/>
        </w:rPr>
        <w:t xml:space="preserve">llan </w:t>
      </w:r>
      <w:r w:rsidR="651D5A02" w:rsidRPr="001577FA">
        <w:rPr>
          <w:rFonts w:ascii="Arial" w:hAnsi="Arial" w:cs="Arial"/>
          <w:sz w:val="20"/>
          <w:szCs w:val="20"/>
        </w:rPr>
        <w:t xml:space="preserve">en </w:t>
      </w:r>
      <w:r w:rsidR="3BD9C492" w:rsidRPr="001577FA">
        <w:rPr>
          <w:rFonts w:ascii="Arial" w:hAnsi="Arial" w:cs="Arial"/>
          <w:sz w:val="20"/>
          <w:szCs w:val="20"/>
        </w:rPr>
        <w:t xml:space="preserve">las siguientes </w:t>
      </w:r>
      <w:r w:rsidR="3546B0CF" w:rsidRPr="001577FA">
        <w:rPr>
          <w:rFonts w:ascii="Arial" w:hAnsi="Arial" w:cs="Arial"/>
          <w:sz w:val="20"/>
          <w:szCs w:val="20"/>
        </w:rPr>
        <w:t>líneas</w:t>
      </w:r>
      <w:r w:rsidR="3BD9C492" w:rsidRPr="001577FA">
        <w:rPr>
          <w:rFonts w:ascii="Arial" w:hAnsi="Arial" w:cs="Arial"/>
          <w:sz w:val="20"/>
          <w:szCs w:val="20"/>
        </w:rPr>
        <w:t xml:space="preserve"> de trabajo: Mejora de Carreras Prioritarias (</w:t>
      </w:r>
      <w:r w:rsidR="44CB1175" w:rsidRPr="001577FA">
        <w:rPr>
          <w:rFonts w:ascii="Arial" w:hAnsi="Arial" w:cs="Arial"/>
          <w:sz w:val="20"/>
          <w:szCs w:val="20"/>
        </w:rPr>
        <w:t>A</w:t>
      </w:r>
      <w:r w:rsidR="3BD9C492" w:rsidRPr="001577FA">
        <w:rPr>
          <w:rFonts w:ascii="Arial" w:hAnsi="Arial" w:cs="Arial"/>
          <w:sz w:val="20"/>
          <w:szCs w:val="20"/>
        </w:rPr>
        <w:t xml:space="preserve">rt. 43 LES), </w:t>
      </w:r>
      <w:r w:rsidR="5D0B841B" w:rsidRPr="001577FA">
        <w:rPr>
          <w:rFonts w:ascii="Arial" w:hAnsi="Arial" w:cs="Arial"/>
          <w:sz w:val="20"/>
          <w:szCs w:val="20"/>
        </w:rPr>
        <w:t>Proyectos de Fortalecimiento Institucional, Mejora de los Espacios de Formación Práctica</w:t>
      </w:r>
      <w:r w:rsidR="33A0E673" w:rsidRPr="001577FA">
        <w:rPr>
          <w:rFonts w:ascii="Arial" w:hAnsi="Arial" w:cs="Arial"/>
          <w:sz w:val="20"/>
          <w:szCs w:val="20"/>
        </w:rPr>
        <w:t xml:space="preserve"> y Fortalecimiento de la Gestión Institucional.</w:t>
      </w:r>
    </w:p>
    <w:p w14:paraId="2FB4A305" w14:textId="2EAF963E" w:rsidR="08CE77B7" w:rsidRPr="001577FA" w:rsidRDefault="08CE77B7" w:rsidP="08CE77B7">
      <w:pPr>
        <w:jc w:val="both"/>
        <w:rPr>
          <w:rFonts w:ascii="Arial" w:hAnsi="Arial" w:cs="Arial"/>
          <w:sz w:val="20"/>
          <w:szCs w:val="20"/>
        </w:rPr>
      </w:pPr>
    </w:p>
    <w:p w14:paraId="62B575C1" w14:textId="3D3043D7" w:rsidR="33A0E673" w:rsidRPr="001577FA" w:rsidRDefault="33A0E673" w:rsidP="08CE77B7">
      <w:pPr>
        <w:jc w:val="both"/>
        <w:rPr>
          <w:rFonts w:ascii="Arial" w:hAnsi="Arial" w:cs="Arial"/>
          <w:sz w:val="20"/>
          <w:szCs w:val="20"/>
        </w:rPr>
      </w:pPr>
      <w:r w:rsidRPr="001577FA">
        <w:rPr>
          <w:rFonts w:ascii="Arial" w:hAnsi="Arial" w:cs="Arial"/>
          <w:b/>
          <w:bCs/>
          <w:sz w:val="20"/>
          <w:szCs w:val="20"/>
        </w:rPr>
        <w:lastRenderedPageBreak/>
        <w:t>Línea de Mejora de Carreras Prioritarias (Art. 43 LES)</w:t>
      </w:r>
    </w:p>
    <w:p w14:paraId="355EA003" w14:textId="37FEF6D4" w:rsidR="241D840E" w:rsidRPr="001577FA" w:rsidRDefault="241D840E" w:rsidP="08CE77B7">
      <w:pPr>
        <w:jc w:val="both"/>
        <w:rPr>
          <w:rFonts w:ascii="Arial" w:hAnsi="Arial" w:cs="Arial"/>
          <w:sz w:val="20"/>
          <w:szCs w:val="20"/>
        </w:rPr>
      </w:pPr>
      <w:r w:rsidRPr="001577FA">
        <w:rPr>
          <w:rFonts w:ascii="Arial" w:hAnsi="Arial" w:cs="Arial"/>
          <w:sz w:val="20"/>
          <w:szCs w:val="20"/>
        </w:rPr>
        <w:t>Las acciones desarrolladas en el marco de la línea Mejora de Carreras Prioritarias (Art.43 LES) tienen por objetivo fortalecer los procesos de enseñanza y de aprendizaje de manera integral. Parte de una política de acompañamiento de las carreras de grado de interés público de las universidades de gestión pública que han atravesado el proceso de acreditación de CONEAU, asegurando el cumplimiento de los estándares de calidad y la mejora de los indicadores académicos.</w:t>
      </w:r>
    </w:p>
    <w:p w14:paraId="1185D531" w14:textId="3051E828" w:rsidR="08CE77B7" w:rsidRPr="001577FA" w:rsidRDefault="08CE77B7" w:rsidP="08CE77B7">
      <w:pPr>
        <w:jc w:val="both"/>
        <w:rPr>
          <w:rFonts w:ascii="Arial" w:hAnsi="Arial" w:cs="Arial"/>
          <w:sz w:val="20"/>
          <w:szCs w:val="20"/>
        </w:rPr>
      </w:pPr>
    </w:p>
    <w:p w14:paraId="067FC391" w14:textId="7FA77155" w:rsidR="3A119FDF" w:rsidRPr="001577FA" w:rsidRDefault="3A119FDF" w:rsidP="08CE77B7">
      <w:pPr>
        <w:jc w:val="both"/>
        <w:rPr>
          <w:rFonts w:ascii="Arial" w:hAnsi="Arial" w:cs="Arial"/>
          <w:b/>
          <w:bCs/>
          <w:sz w:val="20"/>
          <w:szCs w:val="20"/>
        </w:rPr>
      </w:pPr>
      <w:r w:rsidRPr="001577FA">
        <w:rPr>
          <w:rFonts w:ascii="Arial" w:hAnsi="Arial" w:cs="Arial"/>
          <w:b/>
          <w:bCs/>
          <w:sz w:val="20"/>
          <w:szCs w:val="20"/>
        </w:rPr>
        <w:t xml:space="preserve">Proyecto de </w:t>
      </w:r>
      <w:r w:rsidR="45D66863" w:rsidRPr="001577FA">
        <w:rPr>
          <w:rFonts w:ascii="Arial" w:hAnsi="Arial" w:cs="Arial"/>
          <w:b/>
          <w:bCs/>
          <w:sz w:val="20"/>
          <w:szCs w:val="20"/>
        </w:rPr>
        <w:t>Mejora de la Enseñanza orientada a las carreras de LICENCIATURA EN ENFERMERÍA.</w:t>
      </w:r>
    </w:p>
    <w:p w14:paraId="27058AB7" w14:textId="2528F8CB" w:rsidR="6A685CC3" w:rsidRPr="001577FA" w:rsidRDefault="6A685CC3" w:rsidP="08CE77B7">
      <w:pPr>
        <w:jc w:val="both"/>
        <w:rPr>
          <w:rFonts w:ascii="Arial" w:hAnsi="Arial" w:cs="Arial"/>
          <w:sz w:val="20"/>
          <w:szCs w:val="20"/>
        </w:rPr>
      </w:pPr>
      <w:r w:rsidRPr="001577FA">
        <w:rPr>
          <w:rFonts w:ascii="Arial" w:hAnsi="Arial" w:cs="Arial"/>
          <w:sz w:val="20"/>
          <w:szCs w:val="20"/>
        </w:rPr>
        <w:t>Tiene como objetivo:</w:t>
      </w:r>
    </w:p>
    <w:p w14:paraId="058C4221" w14:textId="3233A9F6" w:rsidR="6A685CC3" w:rsidRPr="001577FA" w:rsidRDefault="6A685CC3" w:rsidP="08CE77B7">
      <w:pPr>
        <w:ind w:left="708"/>
        <w:jc w:val="both"/>
        <w:rPr>
          <w:rFonts w:ascii="Arial" w:hAnsi="Arial" w:cs="Arial"/>
          <w:sz w:val="20"/>
          <w:szCs w:val="20"/>
        </w:rPr>
      </w:pPr>
      <w:r w:rsidRPr="001577FA">
        <w:rPr>
          <w:rFonts w:ascii="Arial" w:hAnsi="Arial" w:cs="Arial"/>
          <w:sz w:val="20"/>
          <w:szCs w:val="20"/>
        </w:rPr>
        <w:t>Acompañar la mejora de la calidad de las carreras de enfermería que hayan atravesado exitosamente el proceso de acreditación de la CONEAU, considerando que son de interés público según lo establecido en el Art. 43 de la Ley de Educación Superior.</w:t>
      </w:r>
    </w:p>
    <w:p w14:paraId="450D62B3" w14:textId="0870A950" w:rsidR="6A685CC3" w:rsidRPr="001577FA" w:rsidRDefault="6A685CC3" w:rsidP="08CE77B7">
      <w:pPr>
        <w:ind w:left="708"/>
        <w:jc w:val="both"/>
        <w:rPr>
          <w:rFonts w:ascii="Arial" w:hAnsi="Arial" w:cs="Arial"/>
          <w:sz w:val="20"/>
          <w:szCs w:val="20"/>
        </w:rPr>
      </w:pPr>
      <w:r w:rsidRPr="001577FA">
        <w:rPr>
          <w:rFonts w:ascii="Arial" w:hAnsi="Arial" w:cs="Arial"/>
          <w:sz w:val="20"/>
          <w:szCs w:val="20"/>
        </w:rPr>
        <w:t>Estos proyectos se centran en resolver las necesidades que surgen de los compromisos y recomendaciones de las Resoluciones de acreditación y de los planes de mejora.</w:t>
      </w:r>
    </w:p>
    <w:p w14:paraId="0CDCBC13" w14:textId="27362373" w:rsidR="08CE77B7" w:rsidRPr="001577FA" w:rsidRDefault="08CE77B7" w:rsidP="08CE77B7">
      <w:pPr>
        <w:jc w:val="both"/>
        <w:rPr>
          <w:rFonts w:ascii="Arial" w:hAnsi="Arial" w:cs="Arial"/>
          <w:sz w:val="20"/>
          <w:szCs w:val="20"/>
        </w:rPr>
      </w:pPr>
      <w:r w:rsidRPr="001577FA">
        <w:rPr>
          <w:rFonts w:ascii="Arial" w:hAnsi="Arial" w:cs="Arial"/>
          <w:sz w:val="20"/>
          <w:szCs w:val="20"/>
        </w:rPr>
        <w:t>Este proyecto alcanza a más de 36.000 alumnos en 3</w:t>
      </w:r>
      <w:r w:rsidR="005152A4" w:rsidRPr="001577FA">
        <w:rPr>
          <w:rFonts w:ascii="Arial" w:hAnsi="Arial" w:cs="Arial"/>
          <w:sz w:val="20"/>
          <w:szCs w:val="20"/>
        </w:rPr>
        <w:t>4</w:t>
      </w:r>
      <w:r w:rsidRPr="001577FA">
        <w:rPr>
          <w:rFonts w:ascii="Arial" w:hAnsi="Arial" w:cs="Arial"/>
          <w:sz w:val="20"/>
          <w:szCs w:val="20"/>
        </w:rPr>
        <w:t xml:space="preserve"> Universidades Nacionales y Provinciales de gestión pública y 4</w:t>
      </w:r>
      <w:r w:rsidR="00FC2A00" w:rsidRPr="001577FA">
        <w:rPr>
          <w:rFonts w:ascii="Arial" w:hAnsi="Arial" w:cs="Arial"/>
          <w:sz w:val="20"/>
          <w:szCs w:val="20"/>
        </w:rPr>
        <w:t>1</w:t>
      </w:r>
      <w:r w:rsidRPr="001577FA">
        <w:rPr>
          <w:rFonts w:ascii="Arial" w:hAnsi="Arial" w:cs="Arial"/>
          <w:sz w:val="20"/>
          <w:szCs w:val="20"/>
        </w:rPr>
        <w:t xml:space="preserve"> carreras de Licenciatura en Enfermería acreditadas por la CONEAU con una inversión de</w:t>
      </w:r>
      <w:r w:rsidR="006A7355" w:rsidRPr="001577FA">
        <w:rPr>
          <w:rFonts w:ascii="Arial" w:hAnsi="Arial" w:cs="Arial"/>
          <w:sz w:val="20"/>
          <w:szCs w:val="20"/>
        </w:rPr>
        <w:t xml:space="preserve"> </w:t>
      </w:r>
      <w:r w:rsidR="00FC2A00" w:rsidRPr="001577FA">
        <w:rPr>
          <w:rFonts w:ascii="Arial" w:hAnsi="Arial" w:cs="Arial"/>
          <w:sz w:val="20"/>
          <w:szCs w:val="20"/>
        </w:rPr>
        <w:t>$29.999.987</w:t>
      </w:r>
      <w:r w:rsidRPr="001577FA">
        <w:rPr>
          <w:rFonts w:ascii="Arial" w:hAnsi="Arial" w:cs="Arial"/>
          <w:sz w:val="20"/>
          <w:szCs w:val="20"/>
        </w:rPr>
        <w:t>.</w:t>
      </w:r>
    </w:p>
    <w:p w14:paraId="77DEF0BC" w14:textId="17816BD1" w:rsidR="08CE77B7" w:rsidRPr="001577FA" w:rsidRDefault="08CE77B7" w:rsidP="08CE77B7">
      <w:pPr>
        <w:jc w:val="both"/>
        <w:rPr>
          <w:rFonts w:ascii="Arial" w:hAnsi="Arial" w:cs="Arial"/>
          <w:sz w:val="20"/>
          <w:szCs w:val="20"/>
        </w:rPr>
      </w:pPr>
      <w:r w:rsidRPr="001577FA">
        <w:rPr>
          <w:rFonts w:ascii="Arial" w:hAnsi="Arial" w:cs="Arial"/>
          <w:sz w:val="20"/>
          <w:szCs w:val="20"/>
        </w:rPr>
        <w:t>Los componentes financiados son:</w:t>
      </w:r>
    </w:p>
    <w:p w14:paraId="591D1BA1" w14:textId="2BBE55F3" w:rsidR="08CE77B7" w:rsidRPr="001577FA" w:rsidRDefault="08CE77B7" w:rsidP="08CE77B7">
      <w:pPr>
        <w:pStyle w:val="Prrafodelista"/>
        <w:numPr>
          <w:ilvl w:val="0"/>
          <w:numId w:val="1"/>
        </w:numPr>
        <w:jc w:val="both"/>
        <w:rPr>
          <w:rFonts w:ascii="Arial" w:eastAsiaTheme="minorEastAsia" w:hAnsi="Arial" w:cs="Arial"/>
          <w:sz w:val="20"/>
          <w:szCs w:val="20"/>
        </w:rPr>
      </w:pPr>
      <w:r w:rsidRPr="001577FA">
        <w:rPr>
          <w:rFonts w:ascii="Arial" w:hAnsi="Arial" w:cs="Arial"/>
          <w:sz w:val="20"/>
          <w:szCs w:val="20"/>
        </w:rPr>
        <w:t>Servicios profesionales</w:t>
      </w:r>
    </w:p>
    <w:p w14:paraId="0F8D75B6" w14:textId="16DE9675" w:rsidR="08CE77B7" w:rsidRPr="001577FA" w:rsidRDefault="08CE77B7" w:rsidP="08CE77B7">
      <w:pPr>
        <w:pStyle w:val="Prrafodelista"/>
        <w:numPr>
          <w:ilvl w:val="0"/>
          <w:numId w:val="1"/>
        </w:numPr>
        <w:jc w:val="both"/>
        <w:rPr>
          <w:rFonts w:ascii="Arial" w:eastAsiaTheme="minorEastAsia" w:hAnsi="Arial" w:cs="Arial"/>
          <w:sz w:val="20"/>
          <w:szCs w:val="20"/>
        </w:rPr>
      </w:pPr>
      <w:r w:rsidRPr="001577FA">
        <w:rPr>
          <w:rFonts w:ascii="Arial" w:hAnsi="Arial" w:cs="Arial"/>
          <w:sz w:val="20"/>
          <w:szCs w:val="20"/>
        </w:rPr>
        <w:t>Adquisición de equipamiento</w:t>
      </w:r>
    </w:p>
    <w:p w14:paraId="4F510398" w14:textId="267CB0EE" w:rsidR="08CE77B7" w:rsidRPr="001577FA" w:rsidRDefault="08CE77B7" w:rsidP="08CE77B7">
      <w:pPr>
        <w:pStyle w:val="Prrafodelista"/>
        <w:numPr>
          <w:ilvl w:val="0"/>
          <w:numId w:val="1"/>
        </w:numPr>
        <w:jc w:val="both"/>
        <w:rPr>
          <w:rFonts w:ascii="Arial" w:eastAsiaTheme="minorEastAsia" w:hAnsi="Arial" w:cs="Arial"/>
          <w:sz w:val="20"/>
          <w:szCs w:val="20"/>
        </w:rPr>
      </w:pPr>
      <w:r w:rsidRPr="001577FA">
        <w:rPr>
          <w:rFonts w:ascii="Arial" w:hAnsi="Arial" w:cs="Arial"/>
          <w:sz w:val="20"/>
          <w:szCs w:val="20"/>
        </w:rPr>
        <w:t>Insumos para actividades prácticas</w:t>
      </w:r>
    </w:p>
    <w:p w14:paraId="07112CCF" w14:textId="4DF5EBCE" w:rsidR="08CE77B7" w:rsidRPr="001577FA" w:rsidRDefault="08CE77B7" w:rsidP="08CE77B7">
      <w:pPr>
        <w:pStyle w:val="Prrafodelista"/>
        <w:numPr>
          <w:ilvl w:val="0"/>
          <w:numId w:val="1"/>
        </w:numPr>
        <w:jc w:val="both"/>
        <w:rPr>
          <w:rFonts w:ascii="Arial" w:eastAsiaTheme="minorEastAsia" w:hAnsi="Arial" w:cs="Arial"/>
          <w:sz w:val="20"/>
          <w:szCs w:val="20"/>
        </w:rPr>
      </w:pPr>
      <w:r w:rsidRPr="001577FA">
        <w:rPr>
          <w:rFonts w:ascii="Arial" w:hAnsi="Arial" w:cs="Arial"/>
          <w:sz w:val="20"/>
          <w:szCs w:val="20"/>
        </w:rPr>
        <w:t>Becas e investigación</w:t>
      </w:r>
    </w:p>
    <w:p w14:paraId="175CF0E4" w14:textId="3E7015D0" w:rsidR="08CE77B7" w:rsidRPr="001577FA" w:rsidRDefault="08CE77B7" w:rsidP="08CE77B7">
      <w:pPr>
        <w:jc w:val="both"/>
        <w:rPr>
          <w:rFonts w:ascii="Arial" w:hAnsi="Arial" w:cs="Arial"/>
          <w:sz w:val="20"/>
          <w:szCs w:val="20"/>
        </w:rPr>
      </w:pPr>
    </w:p>
    <w:p w14:paraId="7C4D814A" w14:textId="55B3CF1A" w:rsidR="08CE77B7" w:rsidRPr="001577FA" w:rsidRDefault="08CE77B7" w:rsidP="08CE77B7">
      <w:pPr>
        <w:jc w:val="both"/>
        <w:rPr>
          <w:rFonts w:ascii="Arial" w:hAnsi="Arial" w:cs="Arial"/>
          <w:b/>
          <w:bCs/>
          <w:sz w:val="20"/>
          <w:szCs w:val="20"/>
        </w:rPr>
      </w:pPr>
      <w:r w:rsidRPr="001577FA">
        <w:rPr>
          <w:rFonts w:ascii="Arial" w:hAnsi="Arial" w:cs="Arial"/>
          <w:b/>
          <w:bCs/>
          <w:sz w:val="20"/>
          <w:szCs w:val="20"/>
        </w:rPr>
        <w:t>Línea Proyectos de Fortalecimiento Institucional</w:t>
      </w:r>
    </w:p>
    <w:p w14:paraId="290A4149" w14:textId="5A9CAD15" w:rsidR="08CE77B7" w:rsidRPr="001577FA" w:rsidRDefault="08CE77B7" w:rsidP="08CE77B7">
      <w:pPr>
        <w:jc w:val="both"/>
        <w:rPr>
          <w:rFonts w:ascii="Arial" w:hAnsi="Arial" w:cs="Arial"/>
          <w:sz w:val="20"/>
          <w:szCs w:val="20"/>
        </w:rPr>
      </w:pPr>
      <w:r w:rsidRPr="001577FA">
        <w:rPr>
          <w:rFonts w:ascii="Arial" w:hAnsi="Arial" w:cs="Arial"/>
          <w:sz w:val="20"/>
          <w:szCs w:val="20"/>
        </w:rPr>
        <w:t>Las acciones desarrolladas en el marco de esta línea se centran en el crecimiento constante de la institución universitaria de forma integral. Para este fin se desarrollan políticas de impacto transversal que permitan fortalecer los distintos pilares de la institución en el marco del contexto actual.</w:t>
      </w:r>
    </w:p>
    <w:p w14:paraId="0F8E89F4" w14:textId="3BC32752" w:rsidR="08CE77B7" w:rsidRPr="001577FA" w:rsidRDefault="08CE77B7" w:rsidP="08CE77B7">
      <w:pPr>
        <w:jc w:val="both"/>
        <w:rPr>
          <w:rFonts w:ascii="Arial" w:hAnsi="Arial" w:cs="Arial"/>
          <w:sz w:val="20"/>
          <w:szCs w:val="20"/>
        </w:rPr>
      </w:pPr>
    </w:p>
    <w:p w14:paraId="603636AC" w14:textId="77777777" w:rsidR="00297A4E" w:rsidRDefault="00297A4E" w:rsidP="08CE77B7">
      <w:pPr>
        <w:jc w:val="both"/>
        <w:rPr>
          <w:rFonts w:ascii="Arial" w:hAnsi="Arial" w:cs="Arial"/>
          <w:b/>
          <w:bCs/>
          <w:sz w:val="20"/>
          <w:szCs w:val="20"/>
        </w:rPr>
      </w:pPr>
    </w:p>
    <w:p w14:paraId="12159C60" w14:textId="77777777" w:rsidR="00297A4E" w:rsidRDefault="00297A4E" w:rsidP="08CE77B7">
      <w:pPr>
        <w:jc w:val="both"/>
        <w:rPr>
          <w:rFonts w:ascii="Arial" w:hAnsi="Arial" w:cs="Arial"/>
          <w:b/>
          <w:bCs/>
          <w:sz w:val="20"/>
          <w:szCs w:val="20"/>
        </w:rPr>
      </w:pPr>
    </w:p>
    <w:p w14:paraId="4F397896" w14:textId="1ADC5780" w:rsidR="45D66863" w:rsidRPr="001577FA" w:rsidRDefault="08CE77B7" w:rsidP="08CE77B7">
      <w:pPr>
        <w:jc w:val="both"/>
        <w:rPr>
          <w:rFonts w:ascii="Arial" w:hAnsi="Arial" w:cs="Arial"/>
          <w:b/>
          <w:bCs/>
          <w:sz w:val="20"/>
          <w:szCs w:val="20"/>
        </w:rPr>
      </w:pPr>
      <w:r w:rsidRPr="001577FA">
        <w:rPr>
          <w:rFonts w:ascii="Arial" w:hAnsi="Arial" w:cs="Arial"/>
          <w:b/>
          <w:bCs/>
          <w:sz w:val="20"/>
          <w:szCs w:val="20"/>
        </w:rPr>
        <w:lastRenderedPageBreak/>
        <w:t>PlanVES – Plan de Virtualización de la Educación Superior</w:t>
      </w:r>
      <w:r w:rsidR="45D66863" w:rsidRPr="001577FA">
        <w:rPr>
          <w:rFonts w:ascii="Arial" w:hAnsi="Arial" w:cs="Arial"/>
          <w:b/>
          <w:bCs/>
          <w:sz w:val="20"/>
          <w:szCs w:val="20"/>
        </w:rPr>
        <w:t>.</w:t>
      </w:r>
    </w:p>
    <w:p w14:paraId="0F196F97" w14:textId="2528F8CB" w:rsidR="6A685CC3" w:rsidRPr="001577FA" w:rsidRDefault="6A685CC3" w:rsidP="08CE77B7">
      <w:pPr>
        <w:jc w:val="both"/>
        <w:rPr>
          <w:rFonts w:ascii="Arial" w:hAnsi="Arial" w:cs="Arial"/>
          <w:sz w:val="20"/>
          <w:szCs w:val="20"/>
        </w:rPr>
      </w:pPr>
      <w:r w:rsidRPr="001577FA">
        <w:rPr>
          <w:rFonts w:ascii="Arial" w:hAnsi="Arial" w:cs="Arial"/>
          <w:sz w:val="20"/>
          <w:szCs w:val="20"/>
        </w:rPr>
        <w:t>Tiene como objetivo:</w:t>
      </w:r>
    </w:p>
    <w:p w14:paraId="55BF9AE0" w14:textId="7F234A62" w:rsidR="08CE77B7" w:rsidRPr="001577FA" w:rsidRDefault="08CE77B7" w:rsidP="08CE77B7">
      <w:pPr>
        <w:ind w:left="708"/>
        <w:jc w:val="both"/>
        <w:rPr>
          <w:rFonts w:ascii="Arial" w:hAnsi="Arial" w:cs="Arial"/>
          <w:sz w:val="20"/>
          <w:szCs w:val="20"/>
        </w:rPr>
      </w:pPr>
      <w:r w:rsidRPr="001577FA">
        <w:rPr>
          <w:rFonts w:ascii="Arial" w:hAnsi="Arial" w:cs="Arial"/>
          <w:sz w:val="20"/>
          <w:szCs w:val="20"/>
        </w:rPr>
        <w:t>Fortalecer las instancias de enseñanza virtual mediante capacitación docente orientada a mejorar las capacidades tecnológicas y didácticas para el dictado y evaluación de las asignaturas.</w:t>
      </w:r>
    </w:p>
    <w:p w14:paraId="13515E66" w14:textId="567BBE90" w:rsidR="08CE77B7" w:rsidRPr="001577FA" w:rsidRDefault="08CE77B7" w:rsidP="08CE77B7">
      <w:pPr>
        <w:ind w:left="708"/>
        <w:jc w:val="both"/>
        <w:rPr>
          <w:rFonts w:ascii="Arial" w:hAnsi="Arial" w:cs="Arial"/>
          <w:sz w:val="20"/>
          <w:szCs w:val="20"/>
        </w:rPr>
      </w:pPr>
      <w:r w:rsidRPr="001577FA">
        <w:rPr>
          <w:rFonts w:ascii="Arial" w:hAnsi="Arial" w:cs="Arial"/>
          <w:sz w:val="20"/>
          <w:szCs w:val="20"/>
        </w:rPr>
        <w:t>Fortalecer las instituciones con el software y hardware necesario para las adecuaciones requeridas por la virtualización de la enseñanza.</w:t>
      </w:r>
    </w:p>
    <w:p w14:paraId="5B6A4BA6" w14:textId="29BC51C2" w:rsidR="08CE77B7" w:rsidRPr="001577FA" w:rsidRDefault="08CE77B7" w:rsidP="08CE77B7">
      <w:pPr>
        <w:ind w:left="708"/>
        <w:jc w:val="both"/>
        <w:rPr>
          <w:rFonts w:ascii="Arial" w:hAnsi="Arial" w:cs="Arial"/>
          <w:sz w:val="20"/>
          <w:szCs w:val="20"/>
        </w:rPr>
      </w:pPr>
      <w:r w:rsidRPr="001577FA">
        <w:rPr>
          <w:rFonts w:ascii="Arial" w:hAnsi="Arial" w:cs="Arial"/>
          <w:sz w:val="20"/>
          <w:szCs w:val="20"/>
        </w:rPr>
        <w:t>Mejorar la conectividad de docentes y alumnos en todo el país.</w:t>
      </w:r>
    </w:p>
    <w:p w14:paraId="72AD3E4C" w14:textId="472DB8AF" w:rsidR="08CE77B7" w:rsidRPr="001577FA" w:rsidRDefault="08CE77B7" w:rsidP="08CE77B7">
      <w:pPr>
        <w:ind w:left="708"/>
        <w:jc w:val="both"/>
        <w:rPr>
          <w:rFonts w:ascii="Arial" w:hAnsi="Arial" w:cs="Arial"/>
          <w:sz w:val="20"/>
          <w:szCs w:val="20"/>
        </w:rPr>
      </w:pPr>
      <w:r w:rsidRPr="001577FA">
        <w:rPr>
          <w:rFonts w:ascii="Arial" w:hAnsi="Arial" w:cs="Arial"/>
          <w:sz w:val="20"/>
          <w:szCs w:val="20"/>
        </w:rPr>
        <w:t>Asegurar la continuidad de actividades de extensión e investigación, en el marco de condiciones de bioseguridad acorde a los protocolos vigentes.</w:t>
      </w:r>
    </w:p>
    <w:p w14:paraId="46F63B05" w14:textId="4A8A7478" w:rsidR="08CE77B7" w:rsidRPr="001577FA" w:rsidRDefault="08CE77B7" w:rsidP="08CE77B7">
      <w:pPr>
        <w:jc w:val="both"/>
        <w:rPr>
          <w:rFonts w:ascii="Arial" w:hAnsi="Arial" w:cs="Arial"/>
          <w:sz w:val="20"/>
          <w:szCs w:val="20"/>
        </w:rPr>
      </w:pPr>
      <w:r w:rsidRPr="001577FA">
        <w:rPr>
          <w:rFonts w:ascii="Arial" w:hAnsi="Arial" w:cs="Arial"/>
          <w:sz w:val="20"/>
          <w:szCs w:val="20"/>
        </w:rPr>
        <w:t>Este proyecto alcanza a más de 1.700.000 alumnos en 61 Universidades Nacionales y Provinciales de gestión pública y al Sistema de Información Universitaria (SIU) a través del Consejo Interuniversitario Nacional (CIN) con una inversión de $1.48</w:t>
      </w:r>
      <w:r w:rsidR="00DA2222" w:rsidRPr="001577FA">
        <w:rPr>
          <w:rFonts w:ascii="Arial" w:hAnsi="Arial" w:cs="Arial"/>
          <w:sz w:val="20"/>
          <w:szCs w:val="20"/>
        </w:rPr>
        <w:t>7</w:t>
      </w:r>
      <w:r w:rsidRPr="001577FA">
        <w:rPr>
          <w:rFonts w:ascii="Arial" w:hAnsi="Arial" w:cs="Arial"/>
          <w:sz w:val="20"/>
          <w:szCs w:val="20"/>
        </w:rPr>
        <w:t>.414.281.</w:t>
      </w:r>
    </w:p>
    <w:p w14:paraId="72A4BA98" w14:textId="0DBC61E3" w:rsidR="08CE77B7" w:rsidRPr="001577FA" w:rsidRDefault="08CE77B7" w:rsidP="08CE77B7">
      <w:pPr>
        <w:jc w:val="both"/>
        <w:rPr>
          <w:rFonts w:ascii="Arial" w:hAnsi="Arial" w:cs="Arial"/>
          <w:sz w:val="20"/>
          <w:szCs w:val="20"/>
        </w:rPr>
      </w:pPr>
      <w:r w:rsidRPr="001577FA">
        <w:rPr>
          <w:rFonts w:ascii="Arial" w:hAnsi="Arial" w:cs="Arial"/>
          <w:sz w:val="20"/>
          <w:szCs w:val="20"/>
        </w:rPr>
        <w:t>Los componentes financiados son:</w:t>
      </w:r>
    </w:p>
    <w:p w14:paraId="61D98185" w14:textId="66AF05EF" w:rsidR="08CE77B7" w:rsidRPr="001577FA" w:rsidRDefault="08CE77B7" w:rsidP="08CE77B7">
      <w:pPr>
        <w:ind w:left="708"/>
        <w:jc w:val="both"/>
        <w:rPr>
          <w:rFonts w:ascii="Arial" w:hAnsi="Arial" w:cs="Arial"/>
          <w:sz w:val="20"/>
          <w:szCs w:val="20"/>
        </w:rPr>
      </w:pPr>
      <w:r w:rsidRPr="001577FA">
        <w:rPr>
          <w:rFonts w:ascii="Arial" w:hAnsi="Arial" w:cs="Arial"/>
          <w:sz w:val="20"/>
          <w:szCs w:val="20"/>
        </w:rPr>
        <w:t>Gastos vinculados a garantizar la bioseguridad.</w:t>
      </w:r>
    </w:p>
    <w:p w14:paraId="3CC0ADFE" w14:textId="390A699D" w:rsidR="08CE77B7" w:rsidRPr="001577FA" w:rsidRDefault="08CE77B7" w:rsidP="08CE77B7">
      <w:pPr>
        <w:ind w:left="708"/>
        <w:jc w:val="both"/>
        <w:rPr>
          <w:rFonts w:ascii="Arial" w:hAnsi="Arial" w:cs="Arial"/>
          <w:sz w:val="20"/>
          <w:szCs w:val="20"/>
        </w:rPr>
      </w:pPr>
      <w:r w:rsidRPr="001577FA">
        <w:rPr>
          <w:rFonts w:ascii="Arial" w:hAnsi="Arial" w:cs="Arial"/>
          <w:sz w:val="20"/>
          <w:szCs w:val="20"/>
        </w:rPr>
        <w:t>Gastos relacionados con los honorarios de profesionales que brinden servicios vinculados a las necesidades que posee la universidad.</w:t>
      </w:r>
    </w:p>
    <w:p w14:paraId="172F8C38" w14:textId="300B8DF7" w:rsidR="08CE77B7" w:rsidRPr="001577FA" w:rsidRDefault="08CE77B7" w:rsidP="08CE77B7">
      <w:pPr>
        <w:ind w:left="708"/>
        <w:jc w:val="both"/>
        <w:rPr>
          <w:rFonts w:ascii="Arial" w:hAnsi="Arial" w:cs="Arial"/>
          <w:sz w:val="20"/>
          <w:szCs w:val="20"/>
        </w:rPr>
      </w:pPr>
      <w:r w:rsidRPr="001577FA">
        <w:rPr>
          <w:rFonts w:ascii="Arial" w:hAnsi="Arial" w:cs="Arial"/>
          <w:sz w:val="20"/>
          <w:szCs w:val="20"/>
        </w:rPr>
        <w:t>Adquisición de equipamiento y adecuación edilicia orientados a fortalecer las actividades académicas, de extensión e investigación, así como las administrativas y la inclusión tecnológica.</w:t>
      </w:r>
    </w:p>
    <w:p w14:paraId="2C81508E" w14:textId="1ABAA205" w:rsidR="08CE77B7" w:rsidRPr="001577FA" w:rsidRDefault="08CE77B7" w:rsidP="00EE70E2">
      <w:pPr>
        <w:ind w:left="708"/>
        <w:jc w:val="both"/>
        <w:rPr>
          <w:rFonts w:ascii="Arial" w:hAnsi="Arial" w:cs="Arial"/>
          <w:sz w:val="20"/>
          <w:szCs w:val="20"/>
        </w:rPr>
      </w:pPr>
      <w:r w:rsidRPr="001577FA">
        <w:rPr>
          <w:rFonts w:ascii="Arial" w:hAnsi="Arial" w:cs="Arial"/>
          <w:sz w:val="20"/>
          <w:szCs w:val="20"/>
        </w:rPr>
        <w:t>Gastos relacionados con becas para alumnos que desarrollen tareas de tutores pares</w:t>
      </w:r>
      <w:r w:rsidR="00EE70E2" w:rsidRPr="001577FA">
        <w:rPr>
          <w:rFonts w:ascii="Arial" w:hAnsi="Arial" w:cs="Arial"/>
          <w:sz w:val="20"/>
          <w:szCs w:val="20"/>
        </w:rPr>
        <w:t xml:space="preserve"> </w:t>
      </w:r>
      <w:r w:rsidRPr="001577FA">
        <w:rPr>
          <w:rFonts w:ascii="Arial" w:hAnsi="Arial" w:cs="Arial"/>
          <w:sz w:val="20"/>
          <w:szCs w:val="20"/>
        </w:rPr>
        <w:t>dentro</w:t>
      </w:r>
      <w:r w:rsidR="00EE70E2" w:rsidRPr="001577FA">
        <w:rPr>
          <w:rFonts w:ascii="Arial" w:hAnsi="Arial" w:cs="Arial"/>
          <w:sz w:val="20"/>
          <w:szCs w:val="20"/>
        </w:rPr>
        <w:t xml:space="preserve"> </w:t>
      </w:r>
      <w:r w:rsidRPr="001577FA">
        <w:rPr>
          <w:rFonts w:ascii="Arial" w:hAnsi="Arial" w:cs="Arial"/>
          <w:sz w:val="20"/>
          <w:szCs w:val="20"/>
        </w:rPr>
        <w:t>de</w:t>
      </w:r>
      <w:r w:rsidR="00EE70E2" w:rsidRPr="001577FA">
        <w:rPr>
          <w:rFonts w:ascii="Arial" w:hAnsi="Arial" w:cs="Arial"/>
          <w:sz w:val="20"/>
          <w:szCs w:val="20"/>
        </w:rPr>
        <w:t xml:space="preserve"> </w:t>
      </w:r>
      <w:r w:rsidRPr="001577FA">
        <w:rPr>
          <w:rFonts w:ascii="Arial" w:hAnsi="Arial" w:cs="Arial"/>
          <w:sz w:val="20"/>
          <w:szCs w:val="20"/>
        </w:rPr>
        <w:t>los</w:t>
      </w:r>
      <w:r w:rsidR="00EE70E2" w:rsidRPr="001577FA">
        <w:rPr>
          <w:rFonts w:ascii="Arial" w:hAnsi="Arial" w:cs="Arial"/>
          <w:sz w:val="20"/>
          <w:szCs w:val="20"/>
        </w:rPr>
        <w:t xml:space="preserve"> </w:t>
      </w:r>
      <w:r w:rsidRPr="001577FA">
        <w:rPr>
          <w:rFonts w:ascii="Arial" w:hAnsi="Arial" w:cs="Arial"/>
          <w:sz w:val="20"/>
          <w:szCs w:val="20"/>
        </w:rPr>
        <w:t>sistemas</w:t>
      </w:r>
      <w:r w:rsidR="00EE70E2" w:rsidRPr="001577FA">
        <w:rPr>
          <w:rFonts w:ascii="Arial" w:hAnsi="Arial" w:cs="Arial"/>
          <w:sz w:val="20"/>
          <w:szCs w:val="20"/>
        </w:rPr>
        <w:t xml:space="preserve"> </w:t>
      </w:r>
      <w:r w:rsidRPr="001577FA">
        <w:rPr>
          <w:rFonts w:ascii="Arial" w:hAnsi="Arial" w:cs="Arial"/>
          <w:sz w:val="20"/>
          <w:szCs w:val="20"/>
        </w:rPr>
        <w:t>de</w:t>
      </w:r>
      <w:r w:rsidR="00EE70E2" w:rsidRPr="001577FA">
        <w:rPr>
          <w:rFonts w:ascii="Arial" w:hAnsi="Arial" w:cs="Arial"/>
          <w:sz w:val="20"/>
          <w:szCs w:val="20"/>
        </w:rPr>
        <w:t xml:space="preserve"> </w:t>
      </w:r>
      <w:r w:rsidRPr="001577FA">
        <w:rPr>
          <w:rFonts w:ascii="Arial" w:hAnsi="Arial" w:cs="Arial"/>
          <w:sz w:val="20"/>
          <w:szCs w:val="20"/>
        </w:rPr>
        <w:t>tutorías</w:t>
      </w:r>
      <w:r w:rsidR="00EE70E2" w:rsidRPr="001577FA">
        <w:rPr>
          <w:rFonts w:ascii="Arial" w:hAnsi="Arial" w:cs="Arial"/>
          <w:sz w:val="20"/>
          <w:szCs w:val="20"/>
        </w:rPr>
        <w:t xml:space="preserve"> </w:t>
      </w:r>
      <w:r w:rsidRPr="001577FA">
        <w:rPr>
          <w:rFonts w:ascii="Arial" w:hAnsi="Arial" w:cs="Arial"/>
          <w:sz w:val="20"/>
          <w:szCs w:val="20"/>
        </w:rPr>
        <w:t>institucionales.</w:t>
      </w:r>
    </w:p>
    <w:p w14:paraId="04E658D6" w14:textId="3D9735D0" w:rsidR="002F74A0" w:rsidRPr="001577FA" w:rsidRDefault="002F74A0" w:rsidP="002F74A0">
      <w:pPr>
        <w:jc w:val="both"/>
        <w:rPr>
          <w:rFonts w:ascii="Arial" w:hAnsi="Arial" w:cs="Arial"/>
          <w:sz w:val="20"/>
          <w:szCs w:val="20"/>
        </w:rPr>
      </w:pPr>
      <w:r w:rsidRPr="001577FA">
        <w:rPr>
          <w:rFonts w:ascii="Arial" w:hAnsi="Arial" w:cs="Arial"/>
          <w:sz w:val="20"/>
          <w:szCs w:val="20"/>
        </w:rPr>
        <w:t>Con la inversión realizada se proyectan llevar a cabo:</w:t>
      </w:r>
    </w:p>
    <w:p w14:paraId="35A672D6" w14:textId="4A0C86CD" w:rsidR="002F74A0" w:rsidRPr="001577FA" w:rsidRDefault="002F74A0" w:rsidP="002F74A0">
      <w:pPr>
        <w:ind w:left="708"/>
        <w:jc w:val="both"/>
        <w:rPr>
          <w:rFonts w:ascii="Arial" w:hAnsi="Arial" w:cs="Arial"/>
          <w:sz w:val="20"/>
          <w:szCs w:val="20"/>
        </w:rPr>
      </w:pPr>
      <w:r w:rsidRPr="001577FA">
        <w:rPr>
          <w:rFonts w:ascii="Arial" w:hAnsi="Arial" w:cs="Arial"/>
          <w:sz w:val="20"/>
          <w:szCs w:val="20"/>
        </w:rPr>
        <w:t>-204 actividades de fortalecimiento para el desarrollo de la enseñanza, el aprendizaje y la evaluación en entornos virtuales.</w:t>
      </w:r>
    </w:p>
    <w:p w14:paraId="1BA43FB2" w14:textId="1AB7B7EC" w:rsidR="00EE70E2" w:rsidRPr="001577FA" w:rsidRDefault="002F74A0" w:rsidP="002F74A0">
      <w:pPr>
        <w:ind w:left="708"/>
        <w:jc w:val="both"/>
        <w:rPr>
          <w:rFonts w:ascii="Arial" w:hAnsi="Arial" w:cs="Arial"/>
          <w:sz w:val="20"/>
          <w:szCs w:val="20"/>
        </w:rPr>
      </w:pPr>
      <w:r w:rsidRPr="001577FA">
        <w:rPr>
          <w:rFonts w:ascii="Arial" w:hAnsi="Arial" w:cs="Arial"/>
          <w:sz w:val="20"/>
          <w:szCs w:val="20"/>
        </w:rPr>
        <w:t xml:space="preserve">-131 actividades de Fortalecimiento de proyectos de seguimiento y tutorías. </w:t>
      </w:r>
    </w:p>
    <w:p w14:paraId="7D9AD4F7" w14:textId="4B860F28" w:rsidR="00EE70E2" w:rsidRPr="001577FA" w:rsidRDefault="002F74A0" w:rsidP="002F74A0">
      <w:pPr>
        <w:ind w:left="708"/>
        <w:jc w:val="both"/>
        <w:rPr>
          <w:rFonts w:ascii="Arial" w:hAnsi="Arial" w:cs="Arial"/>
          <w:sz w:val="20"/>
          <w:szCs w:val="20"/>
        </w:rPr>
      </w:pPr>
      <w:r w:rsidRPr="001577FA">
        <w:rPr>
          <w:rFonts w:ascii="Arial" w:hAnsi="Arial" w:cs="Arial"/>
          <w:sz w:val="20"/>
          <w:szCs w:val="20"/>
        </w:rPr>
        <w:t>-235 actividades de fortalecimiento de las herramientas tecnológicas para la inclusión.</w:t>
      </w:r>
    </w:p>
    <w:p w14:paraId="0D03EB63" w14:textId="67CB468F" w:rsidR="002F74A0" w:rsidRPr="001577FA" w:rsidRDefault="002F74A0" w:rsidP="002F74A0">
      <w:pPr>
        <w:ind w:left="708"/>
        <w:jc w:val="both"/>
        <w:rPr>
          <w:rFonts w:ascii="Arial" w:hAnsi="Arial" w:cs="Arial"/>
          <w:sz w:val="20"/>
          <w:szCs w:val="20"/>
        </w:rPr>
      </w:pPr>
      <w:r w:rsidRPr="001577FA">
        <w:rPr>
          <w:rFonts w:ascii="Arial" w:hAnsi="Arial" w:cs="Arial"/>
          <w:sz w:val="20"/>
          <w:szCs w:val="20"/>
        </w:rPr>
        <w:t>-97 actividades de fortalecimiento de la conectividad.</w:t>
      </w:r>
    </w:p>
    <w:p w14:paraId="7B9B4470" w14:textId="4B61B3B9" w:rsidR="002F74A0" w:rsidRPr="001577FA" w:rsidRDefault="002F74A0" w:rsidP="002F74A0">
      <w:pPr>
        <w:ind w:left="708"/>
        <w:jc w:val="both"/>
        <w:rPr>
          <w:rFonts w:ascii="Arial" w:hAnsi="Arial" w:cs="Arial"/>
          <w:sz w:val="20"/>
          <w:szCs w:val="20"/>
        </w:rPr>
      </w:pPr>
      <w:r w:rsidRPr="001577FA">
        <w:rPr>
          <w:rFonts w:ascii="Arial" w:hAnsi="Arial" w:cs="Arial"/>
          <w:sz w:val="20"/>
          <w:szCs w:val="20"/>
        </w:rPr>
        <w:t>-27 actividades de adecuación edilicia.</w:t>
      </w:r>
    </w:p>
    <w:p w14:paraId="49B3BAC3" w14:textId="093AC5A4" w:rsidR="002F74A0" w:rsidRPr="001577FA" w:rsidRDefault="002F74A0" w:rsidP="002F74A0">
      <w:pPr>
        <w:ind w:left="708"/>
        <w:jc w:val="both"/>
        <w:rPr>
          <w:rFonts w:ascii="Arial" w:hAnsi="Arial" w:cs="Arial"/>
          <w:sz w:val="20"/>
          <w:szCs w:val="20"/>
        </w:rPr>
      </w:pPr>
      <w:r w:rsidRPr="001577FA">
        <w:rPr>
          <w:rFonts w:ascii="Arial" w:hAnsi="Arial" w:cs="Arial"/>
          <w:sz w:val="20"/>
          <w:szCs w:val="20"/>
        </w:rPr>
        <w:t>-79 actividades destinadas a garantizar la bioseguridad.</w:t>
      </w:r>
    </w:p>
    <w:p w14:paraId="1B05A20F" w14:textId="48404556" w:rsidR="006E54C6" w:rsidRPr="001577FA" w:rsidRDefault="006E54C6" w:rsidP="2F87B7B1">
      <w:pPr>
        <w:jc w:val="both"/>
        <w:rPr>
          <w:rFonts w:ascii="Arial" w:hAnsi="Arial" w:cs="Arial"/>
          <w:sz w:val="20"/>
          <w:szCs w:val="20"/>
        </w:rPr>
      </w:pPr>
    </w:p>
    <w:p w14:paraId="63404E21" w14:textId="674E2EC7" w:rsidR="45D66863" w:rsidRPr="001577FA" w:rsidRDefault="08CE77B7" w:rsidP="08CE77B7">
      <w:pPr>
        <w:jc w:val="both"/>
        <w:rPr>
          <w:rFonts w:ascii="Arial" w:hAnsi="Arial" w:cs="Arial"/>
          <w:b/>
          <w:bCs/>
          <w:sz w:val="20"/>
          <w:szCs w:val="20"/>
        </w:rPr>
      </w:pPr>
      <w:r w:rsidRPr="001577FA">
        <w:rPr>
          <w:rFonts w:ascii="Arial" w:hAnsi="Arial" w:cs="Arial"/>
          <w:b/>
          <w:bCs/>
          <w:sz w:val="20"/>
          <w:szCs w:val="20"/>
        </w:rPr>
        <w:lastRenderedPageBreak/>
        <w:t>Universidades Nuevas. PROUN 2020</w:t>
      </w:r>
      <w:r w:rsidR="45D66863" w:rsidRPr="001577FA">
        <w:rPr>
          <w:rFonts w:ascii="Arial" w:hAnsi="Arial" w:cs="Arial"/>
          <w:b/>
          <w:bCs/>
          <w:sz w:val="20"/>
          <w:szCs w:val="20"/>
        </w:rPr>
        <w:t>.</w:t>
      </w:r>
    </w:p>
    <w:p w14:paraId="7CA7C412" w14:textId="394ED897" w:rsidR="6A685CC3" w:rsidRPr="001577FA" w:rsidRDefault="6A685CC3" w:rsidP="08CE77B7">
      <w:pPr>
        <w:jc w:val="both"/>
        <w:rPr>
          <w:rFonts w:ascii="Arial" w:hAnsi="Arial" w:cs="Arial"/>
          <w:sz w:val="20"/>
          <w:szCs w:val="20"/>
        </w:rPr>
      </w:pPr>
      <w:r w:rsidRPr="001577FA">
        <w:rPr>
          <w:rFonts w:ascii="Arial" w:hAnsi="Arial" w:cs="Arial"/>
          <w:sz w:val="20"/>
          <w:szCs w:val="20"/>
        </w:rPr>
        <w:t>Tiene como objetivo el a</w:t>
      </w:r>
      <w:r w:rsidR="08CE77B7" w:rsidRPr="001577FA">
        <w:rPr>
          <w:rFonts w:ascii="Arial" w:hAnsi="Arial" w:cs="Arial"/>
          <w:sz w:val="20"/>
          <w:szCs w:val="20"/>
        </w:rPr>
        <w:t>poyo a la puesta en marcha de nuevas universidades, en el marco de los ejes estratégicos de su proyecto institucional.</w:t>
      </w:r>
    </w:p>
    <w:p w14:paraId="16F529EB" w14:textId="2301F89C" w:rsidR="08CE77B7" w:rsidRPr="001577FA" w:rsidRDefault="08CE77B7" w:rsidP="08CE77B7">
      <w:pPr>
        <w:jc w:val="both"/>
        <w:rPr>
          <w:rFonts w:ascii="Arial" w:hAnsi="Arial" w:cs="Arial"/>
          <w:sz w:val="20"/>
          <w:szCs w:val="20"/>
        </w:rPr>
      </w:pPr>
      <w:r w:rsidRPr="001577FA">
        <w:rPr>
          <w:rFonts w:ascii="Arial" w:hAnsi="Arial" w:cs="Arial"/>
          <w:sz w:val="20"/>
          <w:szCs w:val="20"/>
        </w:rPr>
        <w:t>Este proyecto alcanza 1</w:t>
      </w:r>
      <w:r w:rsidR="00597C42" w:rsidRPr="001577FA">
        <w:rPr>
          <w:rFonts w:ascii="Arial" w:hAnsi="Arial" w:cs="Arial"/>
          <w:sz w:val="20"/>
          <w:szCs w:val="20"/>
        </w:rPr>
        <w:t>6</w:t>
      </w:r>
      <w:r w:rsidRPr="001577FA">
        <w:rPr>
          <w:rFonts w:ascii="Arial" w:hAnsi="Arial" w:cs="Arial"/>
          <w:sz w:val="20"/>
          <w:szCs w:val="20"/>
        </w:rPr>
        <w:t xml:space="preserve"> Universidades Nacionales de Gestión Pública de reciente creación con una inversión de $2</w:t>
      </w:r>
      <w:r w:rsidR="00597C42" w:rsidRPr="001577FA">
        <w:rPr>
          <w:rFonts w:ascii="Arial" w:hAnsi="Arial" w:cs="Arial"/>
          <w:sz w:val="20"/>
          <w:szCs w:val="20"/>
        </w:rPr>
        <w:t>50</w:t>
      </w:r>
      <w:r w:rsidRPr="001577FA">
        <w:rPr>
          <w:rFonts w:ascii="Arial" w:hAnsi="Arial" w:cs="Arial"/>
          <w:sz w:val="20"/>
          <w:szCs w:val="20"/>
        </w:rPr>
        <w:t>.</w:t>
      </w:r>
      <w:r w:rsidR="00597C42" w:rsidRPr="001577FA">
        <w:rPr>
          <w:rFonts w:ascii="Arial" w:hAnsi="Arial" w:cs="Arial"/>
          <w:sz w:val="20"/>
          <w:szCs w:val="20"/>
        </w:rPr>
        <w:t>0</w:t>
      </w:r>
      <w:r w:rsidRPr="001577FA">
        <w:rPr>
          <w:rFonts w:ascii="Arial" w:hAnsi="Arial" w:cs="Arial"/>
          <w:sz w:val="20"/>
          <w:szCs w:val="20"/>
        </w:rPr>
        <w:t>00.000.</w:t>
      </w:r>
    </w:p>
    <w:p w14:paraId="7F681132" w14:textId="0DBC61E3" w:rsidR="08CE77B7" w:rsidRPr="001577FA" w:rsidRDefault="08CE77B7" w:rsidP="08CE77B7">
      <w:pPr>
        <w:jc w:val="both"/>
        <w:rPr>
          <w:rFonts w:ascii="Arial" w:hAnsi="Arial" w:cs="Arial"/>
          <w:sz w:val="20"/>
          <w:szCs w:val="20"/>
        </w:rPr>
      </w:pPr>
      <w:r w:rsidRPr="001577FA">
        <w:rPr>
          <w:rFonts w:ascii="Arial" w:hAnsi="Arial" w:cs="Arial"/>
          <w:sz w:val="20"/>
          <w:szCs w:val="20"/>
        </w:rPr>
        <w:t>Los componentes financiados son:</w:t>
      </w:r>
    </w:p>
    <w:p w14:paraId="6DE8FDA7" w14:textId="66D1B7E4" w:rsidR="08CE77B7" w:rsidRPr="001577FA" w:rsidRDefault="08CE77B7" w:rsidP="08CE77B7">
      <w:pPr>
        <w:ind w:left="708"/>
        <w:jc w:val="both"/>
        <w:rPr>
          <w:rFonts w:ascii="Arial" w:hAnsi="Arial" w:cs="Arial"/>
          <w:sz w:val="20"/>
          <w:szCs w:val="20"/>
        </w:rPr>
      </w:pPr>
      <w:r w:rsidRPr="001577FA">
        <w:rPr>
          <w:rFonts w:ascii="Arial" w:hAnsi="Arial" w:cs="Arial"/>
          <w:sz w:val="20"/>
          <w:szCs w:val="20"/>
        </w:rPr>
        <w:t>Adquisición de equipamiento.</w:t>
      </w:r>
    </w:p>
    <w:p w14:paraId="48E41730" w14:textId="2BC6E180" w:rsidR="08CE77B7" w:rsidRPr="001577FA" w:rsidRDefault="08CE77B7" w:rsidP="08CE77B7">
      <w:pPr>
        <w:ind w:left="708"/>
        <w:jc w:val="both"/>
        <w:rPr>
          <w:rFonts w:ascii="Arial" w:hAnsi="Arial" w:cs="Arial"/>
          <w:sz w:val="20"/>
          <w:szCs w:val="20"/>
        </w:rPr>
      </w:pPr>
      <w:r w:rsidRPr="001577FA">
        <w:rPr>
          <w:rFonts w:ascii="Arial" w:hAnsi="Arial" w:cs="Arial"/>
          <w:sz w:val="20"/>
          <w:szCs w:val="20"/>
        </w:rPr>
        <w:t>Adquisición de insumos.</w:t>
      </w:r>
    </w:p>
    <w:p w14:paraId="549E4784" w14:textId="3122E475" w:rsidR="08CE77B7" w:rsidRPr="001577FA" w:rsidRDefault="08CE77B7" w:rsidP="08CE77B7">
      <w:pPr>
        <w:ind w:left="708"/>
        <w:jc w:val="both"/>
        <w:rPr>
          <w:rFonts w:ascii="Arial" w:hAnsi="Arial" w:cs="Arial"/>
          <w:sz w:val="20"/>
          <w:szCs w:val="20"/>
        </w:rPr>
      </w:pPr>
      <w:r w:rsidRPr="001577FA">
        <w:rPr>
          <w:rFonts w:ascii="Arial" w:hAnsi="Arial" w:cs="Arial"/>
          <w:sz w:val="20"/>
          <w:szCs w:val="20"/>
        </w:rPr>
        <w:t>Enriquecimiento de los equipos y dispositivos de gestión académica, extensión e investigación.</w:t>
      </w:r>
    </w:p>
    <w:p w14:paraId="6C3C73C2" w14:textId="23A00AF8" w:rsidR="08CE77B7" w:rsidRPr="001577FA" w:rsidRDefault="08CE77B7" w:rsidP="08CE77B7">
      <w:pPr>
        <w:ind w:left="708"/>
        <w:jc w:val="both"/>
        <w:rPr>
          <w:rFonts w:ascii="Arial" w:hAnsi="Arial" w:cs="Arial"/>
          <w:sz w:val="20"/>
          <w:szCs w:val="20"/>
        </w:rPr>
      </w:pPr>
      <w:r w:rsidRPr="001577FA">
        <w:rPr>
          <w:rFonts w:ascii="Arial" w:hAnsi="Arial" w:cs="Arial"/>
          <w:sz w:val="20"/>
          <w:szCs w:val="20"/>
        </w:rPr>
        <w:t>Fortalecimiento de la planta docente.</w:t>
      </w:r>
    </w:p>
    <w:p w14:paraId="146B655D" w14:textId="0D1A93AA" w:rsidR="08CE77B7" w:rsidRPr="001577FA" w:rsidRDefault="08CE77B7" w:rsidP="08CE77B7">
      <w:pPr>
        <w:jc w:val="both"/>
        <w:rPr>
          <w:rFonts w:ascii="Arial" w:hAnsi="Arial" w:cs="Arial"/>
          <w:sz w:val="20"/>
          <w:szCs w:val="20"/>
        </w:rPr>
      </w:pPr>
    </w:p>
    <w:p w14:paraId="3DC0E8A8" w14:textId="3D656787" w:rsidR="08CE77B7" w:rsidRPr="001577FA" w:rsidRDefault="08CE77B7" w:rsidP="08CE77B7">
      <w:pPr>
        <w:jc w:val="both"/>
        <w:rPr>
          <w:rFonts w:ascii="Arial" w:hAnsi="Arial" w:cs="Arial"/>
          <w:b/>
          <w:bCs/>
          <w:sz w:val="20"/>
          <w:szCs w:val="20"/>
        </w:rPr>
      </w:pPr>
      <w:r w:rsidRPr="001577FA">
        <w:rPr>
          <w:rFonts w:ascii="Arial" w:hAnsi="Arial" w:cs="Arial"/>
          <w:b/>
          <w:bCs/>
          <w:sz w:val="20"/>
          <w:szCs w:val="20"/>
        </w:rPr>
        <w:t>Línea Fortalecimiento de la Gestión Universitaria</w:t>
      </w:r>
    </w:p>
    <w:p w14:paraId="7E9F486A" w14:textId="2A21512E" w:rsidR="08CE77B7" w:rsidRPr="001577FA" w:rsidRDefault="08CE77B7" w:rsidP="08CE77B7">
      <w:pPr>
        <w:jc w:val="both"/>
        <w:rPr>
          <w:rFonts w:ascii="Arial" w:hAnsi="Arial" w:cs="Arial"/>
          <w:sz w:val="20"/>
          <w:szCs w:val="20"/>
        </w:rPr>
      </w:pPr>
      <w:r w:rsidRPr="001577FA">
        <w:rPr>
          <w:rFonts w:ascii="Arial" w:hAnsi="Arial" w:cs="Arial"/>
          <w:sz w:val="20"/>
          <w:szCs w:val="20"/>
        </w:rPr>
        <w:t>Las acciones desarrolladas en el marco de esta línea tienen el propósito de contribuir a la capacitación y actualización de los equipos institucionales que participan en la gestión universitaria del Sistema Universitario Argentino.</w:t>
      </w:r>
    </w:p>
    <w:p w14:paraId="316BAAD6" w14:textId="76417AB5" w:rsidR="45D66863" w:rsidRPr="001577FA" w:rsidRDefault="08CE77B7" w:rsidP="08CE77B7">
      <w:pPr>
        <w:jc w:val="both"/>
        <w:rPr>
          <w:rFonts w:ascii="Arial" w:hAnsi="Arial" w:cs="Arial"/>
          <w:b/>
          <w:bCs/>
          <w:sz w:val="20"/>
          <w:szCs w:val="20"/>
        </w:rPr>
      </w:pPr>
      <w:r w:rsidRPr="001577FA">
        <w:rPr>
          <w:rFonts w:ascii="Arial" w:hAnsi="Arial" w:cs="Arial"/>
          <w:b/>
          <w:bCs/>
          <w:sz w:val="20"/>
          <w:szCs w:val="20"/>
        </w:rPr>
        <w:t>Curso de Gestión Universitaria: Problemáticas y Desafíos de la Educación Superior</w:t>
      </w:r>
      <w:r w:rsidR="45D66863" w:rsidRPr="001577FA">
        <w:rPr>
          <w:rFonts w:ascii="Arial" w:hAnsi="Arial" w:cs="Arial"/>
          <w:b/>
          <w:bCs/>
          <w:sz w:val="20"/>
          <w:szCs w:val="20"/>
        </w:rPr>
        <w:t>.</w:t>
      </w:r>
    </w:p>
    <w:p w14:paraId="64D535DC" w14:textId="2528F8CB" w:rsidR="6A685CC3" w:rsidRPr="001577FA" w:rsidRDefault="6A685CC3" w:rsidP="08CE77B7">
      <w:pPr>
        <w:jc w:val="both"/>
        <w:rPr>
          <w:rFonts w:ascii="Arial" w:hAnsi="Arial" w:cs="Arial"/>
          <w:sz w:val="20"/>
          <w:szCs w:val="20"/>
        </w:rPr>
      </w:pPr>
      <w:r w:rsidRPr="001577FA">
        <w:rPr>
          <w:rFonts w:ascii="Arial" w:hAnsi="Arial" w:cs="Arial"/>
          <w:sz w:val="20"/>
          <w:szCs w:val="20"/>
        </w:rPr>
        <w:t>Tiene como objetivo:</w:t>
      </w:r>
    </w:p>
    <w:p w14:paraId="21067450" w14:textId="2EB9138A" w:rsidR="08CE77B7" w:rsidRPr="001577FA" w:rsidRDefault="08CE77B7" w:rsidP="08CE77B7">
      <w:pPr>
        <w:ind w:left="708"/>
        <w:jc w:val="both"/>
        <w:rPr>
          <w:rFonts w:ascii="Arial" w:hAnsi="Arial" w:cs="Arial"/>
          <w:sz w:val="20"/>
          <w:szCs w:val="20"/>
        </w:rPr>
      </w:pPr>
      <w:r w:rsidRPr="001577FA">
        <w:rPr>
          <w:rFonts w:ascii="Arial" w:hAnsi="Arial" w:cs="Arial"/>
          <w:sz w:val="20"/>
          <w:szCs w:val="20"/>
        </w:rPr>
        <w:t xml:space="preserve">Profundizar en el abordaje de las características específicas del Sistema Universitario Argentino, sus orígenes, alcances y logros. </w:t>
      </w:r>
    </w:p>
    <w:p w14:paraId="44ECACE8" w14:textId="26529148" w:rsidR="08CE77B7" w:rsidRPr="001577FA" w:rsidRDefault="08CE77B7" w:rsidP="08CE77B7">
      <w:pPr>
        <w:ind w:left="708"/>
        <w:jc w:val="both"/>
        <w:rPr>
          <w:rFonts w:ascii="Arial" w:hAnsi="Arial" w:cs="Arial"/>
          <w:sz w:val="20"/>
          <w:szCs w:val="20"/>
        </w:rPr>
      </w:pPr>
      <w:r w:rsidRPr="001577FA">
        <w:rPr>
          <w:rFonts w:ascii="Arial" w:hAnsi="Arial" w:cs="Arial"/>
          <w:sz w:val="20"/>
          <w:szCs w:val="20"/>
        </w:rPr>
        <w:t xml:space="preserve">Reflexionar acerca de los ejes centrales de la gestión universitaria y sus implicancias para los equipos institucionales en escenarios desafiantes y complejos. </w:t>
      </w:r>
    </w:p>
    <w:p w14:paraId="6AB24885" w14:textId="00744DC2" w:rsidR="08CE77B7" w:rsidRPr="001577FA" w:rsidRDefault="08CE77B7" w:rsidP="08CE77B7">
      <w:pPr>
        <w:ind w:left="708"/>
        <w:jc w:val="both"/>
        <w:rPr>
          <w:rFonts w:ascii="Arial" w:hAnsi="Arial" w:cs="Arial"/>
          <w:sz w:val="20"/>
          <w:szCs w:val="20"/>
        </w:rPr>
      </w:pPr>
      <w:r w:rsidRPr="001577FA">
        <w:rPr>
          <w:rFonts w:ascii="Arial" w:hAnsi="Arial" w:cs="Arial"/>
          <w:sz w:val="20"/>
          <w:szCs w:val="20"/>
        </w:rPr>
        <w:t xml:space="preserve">Aplicar las herramientas conceptuales y metodológicas abordadas para diseñar colaborativamente proyectos de intervención institucional que contribuyan con la mejora de la calidad universitaria. </w:t>
      </w:r>
    </w:p>
    <w:p w14:paraId="48340F54" w14:textId="1226A8F1" w:rsidR="08CE77B7" w:rsidRPr="001577FA" w:rsidRDefault="08CE77B7" w:rsidP="08CE77B7">
      <w:pPr>
        <w:ind w:left="708"/>
        <w:jc w:val="both"/>
        <w:rPr>
          <w:rFonts w:ascii="Arial" w:hAnsi="Arial" w:cs="Arial"/>
          <w:sz w:val="20"/>
          <w:szCs w:val="20"/>
        </w:rPr>
      </w:pPr>
      <w:r w:rsidRPr="001577FA">
        <w:rPr>
          <w:rFonts w:ascii="Arial" w:hAnsi="Arial" w:cs="Arial"/>
          <w:sz w:val="20"/>
          <w:szCs w:val="20"/>
        </w:rPr>
        <w:t>Generar redes de intercambio entre colegas de las distintas instituciones universitarias, que permitan una sinergia asertiva, colaborativa, en pos de la mejora continua del Sistema.</w:t>
      </w:r>
    </w:p>
    <w:p w14:paraId="287344E3" w14:textId="77D7455A" w:rsidR="08CE77B7" w:rsidRPr="001577FA" w:rsidRDefault="08CE77B7" w:rsidP="08CE77B7">
      <w:pPr>
        <w:jc w:val="both"/>
        <w:rPr>
          <w:rFonts w:ascii="Arial" w:hAnsi="Arial" w:cs="Arial"/>
          <w:sz w:val="20"/>
          <w:szCs w:val="20"/>
        </w:rPr>
      </w:pPr>
      <w:r w:rsidRPr="001577FA">
        <w:rPr>
          <w:rFonts w:ascii="Arial" w:hAnsi="Arial" w:cs="Arial"/>
          <w:sz w:val="20"/>
          <w:szCs w:val="20"/>
        </w:rPr>
        <w:t>Este curso alcanz</w:t>
      </w:r>
      <w:r w:rsidR="005C31F4" w:rsidRPr="001577FA">
        <w:rPr>
          <w:rFonts w:ascii="Arial" w:hAnsi="Arial" w:cs="Arial"/>
          <w:sz w:val="20"/>
          <w:szCs w:val="20"/>
        </w:rPr>
        <w:t>ó</w:t>
      </w:r>
      <w:r w:rsidRPr="001577FA">
        <w:rPr>
          <w:rFonts w:ascii="Arial" w:hAnsi="Arial" w:cs="Arial"/>
          <w:sz w:val="20"/>
          <w:szCs w:val="20"/>
        </w:rPr>
        <w:t xml:space="preserve"> a profesionales del Sistema Universitario Argentino, entre ellos, autoridades y equipos de gestión de las Universidades Públicas de los CPRES NOA y NEA, así como a profesionales técnicos de la Secretaría de Políticas Universitarias.</w:t>
      </w:r>
    </w:p>
    <w:p w14:paraId="544EA900" w14:textId="24EABC74" w:rsidR="009F7123" w:rsidRPr="001577FA" w:rsidRDefault="005C31F4" w:rsidP="005C31F4">
      <w:pPr>
        <w:jc w:val="both"/>
        <w:rPr>
          <w:rFonts w:ascii="Arial" w:hAnsi="Arial" w:cs="Arial"/>
          <w:sz w:val="20"/>
          <w:szCs w:val="20"/>
        </w:rPr>
      </w:pPr>
      <w:r w:rsidRPr="001577FA">
        <w:rPr>
          <w:rFonts w:ascii="Arial" w:hAnsi="Arial" w:cs="Arial"/>
          <w:sz w:val="20"/>
          <w:szCs w:val="20"/>
        </w:rPr>
        <w:t>E</w:t>
      </w:r>
      <w:r w:rsidR="009F7123" w:rsidRPr="001577FA">
        <w:rPr>
          <w:rFonts w:ascii="Arial" w:hAnsi="Arial" w:cs="Arial"/>
          <w:sz w:val="20"/>
          <w:szCs w:val="20"/>
        </w:rPr>
        <w:t xml:space="preserve">l </w:t>
      </w:r>
      <w:r w:rsidRPr="001577FA">
        <w:rPr>
          <w:rFonts w:ascii="Arial" w:hAnsi="Arial" w:cs="Arial"/>
          <w:sz w:val="20"/>
          <w:szCs w:val="20"/>
        </w:rPr>
        <w:t xml:space="preserve">desarrollo del </w:t>
      </w:r>
      <w:r w:rsidR="009F7123" w:rsidRPr="001577FA">
        <w:rPr>
          <w:rFonts w:ascii="Arial" w:hAnsi="Arial" w:cs="Arial"/>
          <w:sz w:val="20"/>
          <w:szCs w:val="20"/>
        </w:rPr>
        <w:t xml:space="preserve">curso </w:t>
      </w:r>
      <w:r w:rsidRPr="001577FA">
        <w:rPr>
          <w:rFonts w:ascii="Arial" w:hAnsi="Arial" w:cs="Arial"/>
          <w:sz w:val="20"/>
          <w:szCs w:val="20"/>
        </w:rPr>
        <w:t>fue de manera virtual en espacios sincrónicos y asincrónicos a través de la plataforma del Campus Virtual Universitario Nacional</w:t>
      </w:r>
      <w:r w:rsidR="009F7123" w:rsidRPr="001577FA">
        <w:rPr>
          <w:rFonts w:ascii="Arial" w:hAnsi="Arial" w:cs="Arial"/>
          <w:sz w:val="20"/>
          <w:szCs w:val="20"/>
        </w:rPr>
        <w:t>.</w:t>
      </w:r>
    </w:p>
    <w:p w14:paraId="04F2A2C5" w14:textId="36A931E3" w:rsidR="009F7123" w:rsidRPr="001577FA" w:rsidRDefault="009F7123" w:rsidP="005C31F4">
      <w:pPr>
        <w:jc w:val="both"/>
        <w:rPr>
          <w:rFonts w:ascii="Arial" w:hAnsi="Arial" w:cs="Arial"/>
          <w:sz w:val="20"/>
          <w:szCs w:val="20"/>
        </w:rPr>
      </w:pPr>
      <w:r w:rsidRPr="001577FA">
        <w:rPr>
          <w:rFonts w:ascii="Arial" w:hAnsi="Arial" w:cs="Arial"/>
          <w:sz w:val="20"/>
          <w:szCs w:val="20"/>
        </w:rPr>
        <w:lastRenderedPageBreak/>
        <w:t>Las instancias sincrónicas se organiza</w:t>
      </w:r>
      <w:r w:rsidR="005C31F4" w:rsidRPr="001577FA">
        <w:rPr>
          <w:rFonts w:ascii="Arial" w:hAnsi="Arial" w:cs="Arial"/>
          <w:sz w:val="20"/>
          <w:szCs w:val="20"/>
        </w:rPr>
        <w:t>ron</w:t>
      </w:r>
      <w:r w:rsidRPr="001577FA">
        <w:rPr>
          <w:rFonts w:ascii="Arial" w:hAnsi="Arial" w:cs="Arial"/>
          <w:sz w:val="20"/>
          <w:szCs w:val="20"/>
        </w:rPr>
        <w:t xml:space="preserve"> con una presentación</w:t>
      </w:r>
      <w:r w:rsidR="005C31F4" w:rsidRPr="001577FA">
        <w:rPr>
          <w:rFonts w:ascii="Arial" w:hAnsi="Arial" w:cs="Arial"/>
          <w:sz w:val="20"/>
          <w:szCs w:val="20"/>
        </w:rPr>
        <w:t xml:space="preserve"> </w:t>
      </w:r>
      <w:r w:rsidRPr="001577FA">
        <w:rPr>
          <w:rFonts w:ascii="Arial" w:hAnsi="Arial" w:cs="Arial"/>
          <w:sz w:val="20"/>
          <w:szCs w:val="20"/>
        </w:rPr>
        <w:t>conceptual de los contenidos enriquecidos con el análisis y la discusión de</w:t>
      </w:r>
      <w:r w:rsidR="005C31F4" w:rsidRPr="001577FA">
        <w:rPr>
          <w:rFonts w:ascii="Arial" w:hAnsi="Arial" w:cs="Arial"/>
          <w:sz w:val="20"/>
          <w:szCs w:val="20"/>
        </w:rPr>
        <w:t xml:space="preserve"> </w:t>
      </w:r>
      <w:r w:rsidRPr="001577FA">
        <w:rPr>
          <w:rFonts w:ascii="Arial" w:hAnsi="Arial" w:cs="Arial"/>
          <w:sz w:val="20"/>
          <w:szCs w:val="20"/>
        </w:rPr>
        <w:t>casos y experiencias seleccionadas por los expertos en las temáticas</w:t>
      </w:r>
      <w:r w:rsidR="005C31F4" w:rsidRPr="001577FA">
        <w:rPr>
          <w:rFonts w:ascii="Arial" w:hAnsi="Arial" w:cs="Arial"/>
          <w:sz w:val="20"/>
          <w:szCs w:val="20"/>
        </w:rPr>
        <w:t xml:space="preserve"> conformados por Rectores de Universidades Nacionales, y representantes de SIU y CONEAU</w:t>
      </w:r>
      <w:r w:rsidRPr="001577FA">
        <w:rPr>
          <w:rFonts w:ascii="Arial" w:hAnsi="Arial" w:cs="Arial"/>
          <w:sz w:val="20"/>
          <w:szCs w:val="20"/>
        </w:rPr>
        <w:t>.</w:t>
      </w:r>
    </w:p>
    <w:p w14:paraId="6C18F148" w14:textId="4D671CBA" w:rsidR="00086AC3" w:rsidRPr="001577FA" w:rsidRDefault="005C31F4" w:rsidP="009F7123">
      <w:pPr>
        <w:jc w:val="both"/>
        <w:rPr>
          <w:rFonts w:ascii="Arial" w:hAnsi="Arial" w:cs="Arial"/>
          <w:sz w:val="20"/>
          <w:szCs w:val="20"/>
        </w:rPr>
      </w:pPr>
      <w:r w:rsidRPr="001577FA">
        <w:rPr>
          <w:rFonts w:ascii="Arial" w:hAnsi="Arial" w:cs="Arial"/>
          <w:sz w:val="20"/>
          <w:szCs w:val="20"/>
        </w:rPr>
        <w:t>Además,</w:t>
      </w:r>
      <w:r w:rsidR="009F7123" w:rsidRPr="001577FA">
        <w:rPr>
          <w:rFonts w:ascii="Arial" w:hAnsi="Arial" w:cs="Arial"/>
          <w:sz w:val="20"/>
          <w:szCs w:val="20"/>
        </w:rPr>
        <w:t xml:space="preserve"> </w:t>
      </w:r>
      <w:r w:rsidRPr="001577FA">
        <w:rPr>
          <w:rFonts w:ascii="Arial" w:hAnsi="Arial" w:cs="Arial"/>
          <w:sz w:val="20"/>
          <w:szCs w:val="20"/>
        </w:rPr>
        <w:t>se</w:t>
      </w:r>
      <w:r w:rsidR="009F7123" w:rsidRPr="001577FA">
        <w:rPr>
          <w:rFonts w:ascii="Arial" w:hAnsi="Arial" w:cs="Arial"/>
          <w:sz w:val="20"/>
          <w:szCs w:val="20"/>
        </w:rPr>
        <w:t xml:space="preserve"> realiza</w:t>
      </w:r>
      <w:r w:rsidRPr="001577FA">
        <w:rPr>
          <w:rFonts w:ascii="Arial" w:hAnsi="Arial" w:cs="Arial"/>
          <w:sz w:val="20"/>
          <w:szCs w:val="20"/>
        </w:rPr>
        <w:t>ron</w:t>
      </w:r>
      <w:r w:rsidR="009F7123" w:rsidRPr="001577FA">
        <w:rPr>
          <w:rFonts w:ascii="Arial" w:hAnsi="Arial" w:cs="Arial"/>
          <w:sz w:val="20"/>
          <w:szCs w:val="20"/>
        </w:rPr>
        <w:t xml:space="preserve"> instancias plenarias</w:t>
      </w:r>
      <w:r w:rsidRPr="001577FA">
        <w:rPr>
          <w:rFonts w:ascii="Arial" w:hAnsi="Arial" w:cs="Arial"/>
          <w:sz w:val="20"/>
          <w:szCs w:val="20"/>
        </w:rPr>
        <w:t xml:space="preserve"> con la </w:t>
      </w:r>
      <w:r w:rsidR="009F7123" w:rsidRPr="001577FA">
        <w:rPr>
          <w:rFonts w:ascii="Arial" w:hAnsi="Arial" w:cs="Arial"/>
          <w:sz w:val="20"/>
          <w:szCs w:val="20"/>
        </w:rPr>
        <w:t>participación de distintos integrantes de la Secretaría de Políticas Universitarias.</w:t>
      </w:r>
    </w:p>
    <w:p w14:paraId="3606E42F" w14:textId="25D88874" w:rsidR="009F7123" w:rsidRPr="001577FA" w:rsidRDefault="009F7123" w:rsidP="08CE77B7">
      <w:pPr>
        <w:jc w:val="both"/>
        <w:rPr>
          <w:rFonts w:ascii="Arial" w:hAnsi="Arial" w:cs="Arial"/>
          <w:sz w:val="20"/>
          <w:szCs w:val="20"/>
        </w:rPr>
      </w:pPr>
      <w:r w:rsidRPr="001577FA">
        <w:rPr>
          <w:rFonts w:ascii="Arial" w:hAnsi="Arial" w:cs="Arial"/>
          <w:sz w:val="20"/>
          <w:szCs w:val="20"/>
        </w:rPr>
        <w:t>La propuesta pedagógica incluy</w:t>
      </w:r>
      <w:r w:rsidR="005C31F4" w:rsidRPr="001577FA">
        <w:rPr>
          <w:rFonts w:ascii="Arial" w:hAnsi="Arial" w:cs="Arial"/>
          <w:sz w:val="20"/>
          <w:szCs w:val="20"/>
        </w:rPr>
        <w:t>ó</w:t>
      </w:r>
      <w:r w:rsidRPr="001577FA">
        <w:rPr>
          <w:rFonts w:ascii="Arial" w:hAnsi="Arial" w:cs="Arial"/>
          <w:sz w:val="20"/>
          <w:szCs w:val="20"/>
        </w:rPr>
        <w:t xml:space="preserve"> las siguientes temáticas:</w:t>
      </w:r>
    </w:p>
    <w:p w14:paraId="1693829A" w14:textId="77777777" w:rsidR="009F7123" w:rsidRPr="001577FA" w:rsidRDefault="009F7123" w:rsidP="009F7123">
      <w:pPr>
        <w:ind w:left="708"/>
        <w:jc w:val="both"/>
        <w:rPr>
          <w:rFonts w:ascii="Arial" w:hAnsi="Arial" w:cs="Arial"/>
          <w:sz w:val="20"/>
          <w:szCs w:val="20"/>
        </w:rPr>
      </w:pPr>
      <w:r w:rsidRPr="001577FA">
        <w:rPr>
          <w:rFonts w:ascii="Arial" w:hAnsi="Arial" w:cs="Arial"/>
          <w:sz w:val="20"/>
          <w:szCs w:val="20"/>
        </w:rPr>
        <w:t>1. Sistema Universitario Argentino.</w:t>
      </w:r>
    </w:p>
    <w:p w14:paraId="1F6AC42C" w14:textId="32AF9FD5" w:rsidR="009F7123" w:rsidRPr="001577FA" w:rsidRDefault="009F7123" w:rsidP="009F7123">
      <w:pPr>
        <w:ind w:left="708"/>
        <w:jc w:val="both"/>
        <w:rPr>
          <w:rFonts w:ascii="Arial" w:hAnsi="Arial" w:cs="Arial"/>
          <w:sz w:val="20"/>
          <w:szCs w:val="20"/>
        </w:rPr>
      </w:pPr>
      <w:r w:rsidRPr="001577FA">
        <w:rPr>
          <w:rFonts w:ascii="Arial" w:hAnsi="Arial" w:cs="Arial"/>
          <w:sz w:val="20"/>
          <w:szCs w:val="20"/>
        </w:rPr>
        <w:t>2. Política y Gestión Académica.</w:t>
      </w:r>
    </w:p>
    <w:p w14:paraId="095B409E" w14:textId="0CCAB243" w:rsidR="009F7123" w:rsidRPr="001577FA" w:rsidRDefault="009F7123" w:rsidP="009F7123">
      <w:pPr>
        <w:ind w:left="708"/>
        <w:jc w:val="both"/>
        <w:rPr>
          <w:rFonts w:ascii="Arial" w:hAnsi="Arial" w:cs="Arial"/>
          <w:sz w:val="20"/>
          <w:szCs w:val="20"/>
        </w:rPr>
      </w:pPr>
      <w:r w:rsidRPr="001577FA">
        <w:rPr>
          <w:rFonts w:ascii="Arial" w:hAnsi="Arial" w:cs="Arial"/>
          <w:sz w:val="20"/>
          <w:szCs w:val="20"/>
        </w:rPr>
        <w:t>3. Política y Gestión Administrativa.</w:t>
      </w:r>
    </w:p>
    <w:p w14:paraId="0C08DCD8" w14:textId="797B46E2" w:rsidR="009F7123" w:rsidRPr="001577FA" w:rsidRDefault="009F7123" w:rsidP="009F7123">
      <w:pPr>
        <w:ind w:left="708"/>
        <w:jc w:val="both"/>
        <w:rPr>
          <w:rFonts w:ascii="Arial" w:hAnsi="Arial" w:cs="Arial"/>
          <w:sz w:val="20"/>
          <w:szCs w:val="20"/>
        </w:rPr>
      </w:pPr>
      <w:r w:rsidRPr="001577FA">
        <w:rPr>
          <w:rFonts w:ascii="Arial" w:hAnsi="Arial" w:cs="Arial"/>
          <w:sz w:val="20"/>
          <w:szCs w:val="20"/>
        </w:rPr>
        <w:t>4. Política y Gestión de la Investigación.</w:t>
      </w:r>
    </w:p>
    <w:p w14:paraId="7444959F" w14:textId="5D7009C1" w:rsidR="009F7123" w:rsidRPr="001577FA" w:rsidRDefault="009F7123" w:rsidP="009F7123">
      <w:pPr>
        <w:ind w:left="708"/>
        <w:jc w:val="both"/>
        <w:rPr>
          <w:rFonts w:ascii="Arial" w:hAnsi="Arial" w:cs="Arial"/>
          <w:sz w:val="20"/>
          <w:szCs w:val="20"/>
        </w:rPr>
      </w:pPr>
      <w:r w:rsidRPr="001577FA">
        <w:rPr>
          <w:rFonts w:ascii="Arial" w:hAnsi="Arial" w:cs="Arial"/>
          <w:sz w:val="20"/>
          <w:szCs w:val="20"/>
        </w:rPr>
        <w:t>5. Evaluación y Aseguramiento de la Calidad de la Educación Superior.</w:t>
      </w:r>
    </w:p>
    <w:sectPr w:rsidR="009F7123" w:rsidRPr="001577FA" w:rsidSect="00297A4E">
      <w:footerReference w:type="default" r:id="rId9"/>
      <w:pgSz w:w="16838" w:h="11906" w:orient="landscape"/>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AE302B" w14:textId="77777777" w:rsidR="00EA0789" w:rsidRDefault="00EA0789" w:rsidP="00297A4E">
      <w:pPr>
        <w:spacing w:after="0" w:line="240" w:lineRule="auto"/>
      </w:pPr>
      <w:r>
        <w:separator/>
      </w:r>
    </w:p>
  </w:endnote>
  <w:endnote w:type="continuationSeparator" w:id="0">
    <w:p w14:paraId="00797AED" w14:textId="77777777" w:rsidR="00EA0789" w:rsidRDefault="00EA0789" w:rsidP="00297A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6CACD" w14:textId="4C540181" w:rsidR="00297A4E" w:rsidRDefault="00297A4E">
    <w:pPr>
      <w:pStyle w:val="Piedepgina"/>
    </w:pPr>
    <w:r>
      <w:rPr>
        <w:noProof/>
      </w:rPr>
      <w:drawing>
        <wp:anchor distT="0" distB="0" distL="114300" distR="114300" simplePos="0" relativeHeight="251658240" behindDoc="1" locked="0" layoutInCell="1" allowOverlap="1" wp14:anchorId="4DCA9272" wp14:editId="0A59A333">
          <wp:simplePos x="0" y="0"/>
          <wp:positionH relativeFrom="page">
            <wp:align>right</wp:align>
          </wp:positionH>
          <wp:positionV relativeFrom="paragraph">
            <wp:posOffset>-306643</wp:posOffset>
          </wp:positionV>
          <wp:extent cx="10687987" cy="828514"/>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
                    <a:extLst>
                      <a:ext uri="{28A0092B-C50C-407E-A947-70E740481C1C}">
                        <a14:useLocalDpi xmlns:a14="http://schemas.microsoft.com/office/drawing/2010/main" val="0"/>
                      </a:ext>
                    </a:extLst>
                  </a:blip>
                  <a:stretch>
                    <a:fillRect/>
                  </a:stretch>
                </pic:blipFill>
                <pic:spPr>
                  <a:xfrm>
                    <a:off x="0" y="0"/>
                    <a:ext cx="10687987" cy="828514"/>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C770A2" w14:textId="77777777" w:rsidR="00EA0789" w:rsidRDefault="00EA0789" w:rsidP="00297A4E">
      <w:pPr>
        <w:spacing w:after="0" w:line="240" w:lineRule="auto"/>
      </w:pPr>
      <w:r>
        <w:separator/>
      </w:r>
    </w:p>
  </w:footnote>
  <w:footnote w:type="continuationSeparator" w:id="0">
    <w:p w14:paraId="6F1AD276" w14:textId="77777777" w:rsidR="00EA0789" w:rsidRDefault="00EA0789" w:rsidP="00297A4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2613AC"/>
    <w:multiLevelType w:val="hybridMultilevel"/>
    <w:tmpl w:val="C91851FE"/>
    <w:lvl w:ilvl="0" w:tplc="DC9291F6">
      <w:start w:val="1"/>
      <w:numFmt w:val="bullet"/>
      <w:lvlText w:val=""/>
      <w:lvlJc w:val="left"/>
      <w:pPr>
        <w:ind w:left="720" w:hanging="360"/>
      </w:pPr>
      <w:rPr>
        <w:rFonts w:ascii="Symbol" w:hAnsi="Symbol" w:hint="default"/>
      </w:rPr>
    </w:lvl>
    <w:lvl w:ilvl="1" w:tplc="01CEBC92">
      <w:start w:val="1"/>
      <w:numFmt w:val="bullet"/>
      <w:lvlText w:val="o"/>
      <w:lvlJc w:val="left"/>
      <w:pPr>
        <w:ind w:left="1440" w:hanging="360"/>
      </w:pPr>
      <w:rPr>
        <w:rFonts w:ascii="Courier New" w:hAnsi="Courier New" w:hint="default"/>
      </w:rPr>
    </w:lvl>
    <w:lvl w:ilvl="2" w:tplc="E468F7D8">
      <w:start w:val="1"/>
      <w:numFmt w:val="bullet"/>
      <w:lvlText w:val=""/>
      <w:lvlJc w:val="left"/>
      <w:pPr>
        <w:ind w:left="2160" w:hanging="360"/>
      </w:pPr>
      <w:rPr>
        <w:rFonts w:ascii="Wingdings" w:hAnsi="Wingdings" w:hint="default"/>
      </w:rPr>
    </w:lvl>
    <w:lvl w:ilvl="3" w:tplc="B7EE97B8">
      <w:start w:val="1"/>
      <w:numFmt w:val="bullet"/>
      <w:lvlText w:val=""/>
      <w:lvlJc w:val="left"/>
      <w:pPr>
        <w:ind w:left="2880" w:hanging="360"/>
      </w:pPr>
      <w:rPr>
        <w:rFonts w:ascii="Symbol" w:hAnsi="Symbol" w:hint="default"/>
      </w:rPr>
    </w:lvl>
    <w:lvl w:ilvl="4" w:tplc="10748F34">
      <w:start w:val="1"/>
      <w:numFmt w:val="bullet"/>
      <w:lvlText w:val="o"/>
      <w:lvlJc w:val="left"/>
      <w:pPr>
        <w:ind w:left="3600" w:hanging="360"/>
      </w:pPr>
      <w:rPr>
        <w:rFonts w:ascii="Courier New" w:hAnsi="Courier New" w:hint="default"/>
      </w:rPr>
    </w:lvl>
    <w:lvl w:ilvl="5" w:tplc="6804CE56">
      <w:start w:val="1"/>
      <w:numFmt w:val="bullet"/>
      <w:lvlText w:val=""/>
      <w:lvlJc w:val="left"/>
      <w:pPr>
        <w:ind w:left="4320" w:hanging="360"/>
      </w:pPr>
      <w:rPr>
        <w:rFonts w:ascii="Wingdings" w:hAnsi="Wingdings" w:hint="default"/>
      </w:rPr>
    </w:lvl>
    <w:lvl w:ilvl="6" w:tplc="62561AAA">
      <w:start w:val="1"/>
      <w:numFmt w:val="bullet"/>
      <w:lvlText w:val=""/>
      <w:lvlJc w:val="left"/>
      <w:pPr>
        <w:ind w:left="5040" w:hanging="360"/>
      </w:pPr>
      <w:rPr>
        <w:rFonts w:ascii="Symbol" w:hAnsi="Symbol" w:hint="default"/>
      </w:rPr>
    </w:lvl>
    <w:lvl w:ilvl="7" w:tplc="6DB0980E">
      <w:start w:val="1"/>
      <w:numFmt w:val="bullet"/>
      <w:lvlText w:val="o"/>
      <w:lvlJc w:val="left"/>
      <w:pPr>
        <w:ind w:left="5760" w:hanging="360"/>
      </w:pPr>
      <w:rPr>
        <w:rFonts w:ascii="Courier New" w:hAnsi="Courier New" w:hint="default"/>
      </w:rPr>
    </w:lvl>
    <w:lvl w:ilvl="8" w:tplc="DCB6D08A">
      <w:start w:val="1"/>
      <w:numFmt w:val="bullet"/>
      <w:lvlText w:val=""/>
      <w:lvlJc w:val="left"/>
      <w:pPr>
        <w:ind w:left="6480" w:hanging="360"/>
      </w:pPr>
      <w:rPr>
        <w:rFonts w:ascii="Wingdings" w:hAnsi="Wingdings" w:hint="default"/>
      </w:rPr>
    </w:lvl>
  </w:abstractNum>
  <w:abstractNum w:abstractNumId="1" w15:restartNumberingAfterBreak="0">
    <w:nsid w:val="36592777"/>
    <w:multiLevelType w:val="hybridMultilevel"/>
    <w:tmpl w:val="564275E4"/>
    <w:lvl w:ilvl="0" w:tplc="517C6E40">
      <w:start w:val="1"/>
      <w:numFmt w:val="decimal"/>
      <w:lvlText w:val="%1."/>
      <w:lvlJc w:val="left"/>
      <w:pPr>
        <w:ind w:left="720" w:hanging="360"/>
      </w:pPr>
    </w:lvl>
    <w:lvl w:ilvl="1" w:tplc="EC4A4FE4">
      <w:start w:val="1"/>
      <w:numFmt w:val="lowerLetter"/>
      <w:lvlText w:val="%2."/>
      <w:lvlJc w:val="left"/>
      <w:pPr>
        <w:ind w:left="1440" w:hanging="360"/>
      </w:pPr>
    </w:lvl>
    <w:lvl w:ilvl="2" w:tplc="6E3EBF58">
      <w:start w:val="1"/>
      <w:numFmt w:val="lowerRoman"/>
      <w:lvlText w:val="%3."/>
      <w:lvlJc w:val="right"/>
      <w:pPr>
        <w:ind w:left="2160" w:hanging="180"/>
      </w:pPr>
    </w:lvl>
    <w:lvl w:ilvl="3" w:tplc="39EC9FE2">
      <w:start w:val="1"/>
      <w:numFmt w:val="decimal"/>
      <w:lvlText w:val="%4."/>
      <w:lvlJc w:val="left"/>
      <w:pPr>
        <w:ind w:left="2880" w:hanging="360"/>
      </w:pPr>
    </w:lvl>
    <w:lvl w:ilvl="4" w:tplc="42C85142">
      <w:start w:val="1"/>
      <w:numFmt w:val="lowerLetter"/>
      <w:lvlText w:val="%5."/>
      <w:lvlJc w:val="left"/>
      <w:pPr>
        <w:ind w:left="3600" w:hanging="360"/>
      </w:pPr>
    </w:lvl>
    <w:lvl w:ilvl="5" w:tplc="E6AE2622">
      <w:start w:val="1"/>
      <w:numFmt w:val="lowerRoman"/>
      <w:lvlText w:val="%6."/>
      <w:lvlJc w:val="right"/>
      <w:pPr>
        <w:ind w:left="4320" w:hanging="180"/>
      </w:pPr>
    </w:lvl>
    <w:lvl w:ilvl="6" w:tplc="6FB0397C">
      <w:start w:val="1"/>
      <w:numFmt w:val="decimal"/>
      <w:lvlText w:val="%7."/>
      <w:lvlJc w:val="left"/>
      <w:pPr>
        <w:ind w:left="5040" w:hanging="360"/>
      </w:pPr>
    </w:lvl>
    <w:lvl w:ilvl="7" w:tplc="D0A001B8">
      <w:start w:val="1"/>
      <w:numFmt w:val="lowerLetter"/>
      <w:lvlText w:val="%8."/>
      <w:lvlJc w:val="left"/>
      <w:pPr>
        <w:ind w:left="5760" w:hanging="360"/>
      </w:pPr>
    </w:lvl>
    <w:lvl w:ilvl="8" w:tplc="4588090E">
      <w:start w:val="1"/>
      <w:numFmt w:val="lowerRoman"/>
      <w:lvlText w:val="%9."/>
      <w:lvlJc w:val="right"/>
      <w:pPr>
        <w:ind w:left="6480" w:hanging="180"/>
      </w:pPr>
    </w:lvl>
  </w:abstractNum>
  <w:abstractNum w:abstractNumId="2" w15:restartNumberingAfterBreak="0">
    <w:nsid w:val="431259F6"/>
    <w:multiLevelType w:val="hybridMultilevel"/>
    <w:tmpl w:val="199AA12E"/>
    <w:lvl w:ilvl="0" w:tplc="147C2C86">
      <w:start w:val="1"/>
      <w:numFmt w:val="bullet"/>
      <w:lvlText w:val=""/>
      <w:lvlJc w:val="left"/>
      <w:pPr>
        <w:ind w:left="720" w:hanging="360"/>
      </w:pPr>
      <w:rPr>
        <w:rFonts w:ascii="Symbol" w:hAnsi="Symbol" w:hint="default"/>
      </w:rPr>
    </w:lvl>
    <w:lvl w:ilvl="1" w:tplc="81C045B4">
      <w:start w:val="1"/>
      <w:numFmt w:val="bullet"/>
      <w:lvlText w:val="o"/>
      <w:lvlJc w:val="left"/>
      <w:pPr>
        <w:ind w:left="1440" w:hanging="360"/>
      </w:pPr>
      <w:rPr>
        <w:rFonts w:ascii="Courier New" w:hAnsi="Courier New" w:hint="default"/>
      </w:rPr>
    </w:lvl>
    <w:lvl w:ilvl="2" w:tplc="5B740DEE">
      <w:start w:val="1"/>
      <w:numFmt w:val="bullet"/>
      <w:lvlText w:val=""/>
      <w:lvlJc w:val="left"/>
      <w:pPr>
        <w:ind w:left="2160" w:hanging="360"/>
      </w:pPr>
      <w:rPr>
        <w:rFonts w:ascii="Wingdings" w:hAnsi="Wingdings" w:hint="default"/>
      </w:rPr>
    </w:lvl>
    <w:lvl w:ilvl="3" w:tplc="CAE2E148">
      <w:start w:val="1"/>
      <w:numFmt w:val="bullet"/>
      <w:lvlText w:val=""/>
      <w:lvlJc w:val="left"/>
      <w:pPr>
        <w:ind w:left="2880" w:hanging="360"/>
      </w:pPr>
      <w:rPr>
        <w:rFonts w:ascii="Symbol" w:hAnsi="Symbol" w:hint="default"/>
      </w:rPr>
    </w:lvl>
    <w:lvl w:ilvl="4" w:tplc="2FFE8C64">
      <w:start w:val="1"/>
      <w:numFmt w:val="bullet"/>
      <w:lvlText w:val="o"/>
      <w:lvlJc w:val="left"/>
      <w:pPr>
        <w:ind w:left="3600" w:hanging="360"/>
      </w:pPr>
      <w:rPr>
        <w:rFonts w:ascii="Courier New" w:hAnsi="Courier New" w:hint="default"/>
      </w:rPr>
    </w:lvl>
    <w:lvl w:ilvl="5" w:tplc="47D62B8C">
      <w:start w:val="1"/>
      <w:numFmt w:val="bullet"/>
      <w:lvlText w:val=""/>
      <w:lvlJc w:val="left"/>
      <w:pPr>
        <w:ind w:left="4320" w:hanging="360"/>
      </w:pPr>
      <w:rPr>
        <w:rFonts w:ascii="Wingdings" w:hAnsi="Wingdings" w:hint="default"/>
      </w:rPr>
    </w:lvl>
    <w:lvl w:ilvl="6" w:tplc="0EC2667A">
      <w:start w:val="1"/>
      <w:numFmt w:val="bullet"/>
      <w:lvlText w:val=""/>
      <w:lvlJc w:val="left"/>
      <w:pPr>
        <w:ind w:left="5040" w:hanging="360"/>
      </w:pPr>
      <w:rPr>
        <w:rFonts w:ascii="Symbol" w:hAnsi="Symbol" w:hint="default"/>
      </w:rPr>
    </w:lvl>
    <w:lvl w:ilvl="7" w:tplc="D9E24096">
      <w:start w:val="1"/>
      <w:numFmt w:val="bullet"/>
      <w:lvlText w:val="o"/>
      <w:lvlJc w:val="left"/>
      <w:pPr>
        <w:ind w:left="5760" w:hanging="360"/>
      </w:pPr>
      <w:rPr>
        <w:rFonts w:ascii="Courier New" w:hAnsi="Courier New" w:hint="default"/>
      </w:rPr>
    </w:lvl>
    <w:lvl w:ilvl="8" w:tplc="05F62794">
      <w:start w:val="1"/>
      <w:numFmt w:val="bullet"/>
      <w:lvlText w:val=""/>
      <w:lvlJc w:val="left"/>
      <w:pPr>
        <w:ind w:left="6480" w:hanging="360"/>
      </w:pPr>
      <w:rPr>
        <w:rFonts w:ascii="Wingdings" w:hAnsi="Wingdings" w:hint="default"/>
      </w:rPr>
    </w:lvl>
  </w:abstractNum>
  <w:abstractNum w:abstractNumId="3" w15:restartNumberingAfterBreak="0">
    <w:nsid w:val="57966B37"/>
    <w:multiLevelType w:val="hybridMultilevel"/>
    <w:tmpl w:val="EECA42FC"/>
    <w:lvl w:ilvl="0" w:tplc="2FD21BA2">
      <w:start w:val="1"/>
      <w:numFmt w:val="upperLetter"/>
      <w:lvlText w:val="%1."/>
      <w:lvlJc w:val="left"/>
      <w:pPr>
        <w:ind w:left="1068" w:hanging="360"/>
      </w:pPr>
    </w:lvl>
    <w:lvl w:ilvl="1" w:tplc="9620AD8E">
      <w:start w:val="1"/>
      <w:numFmt w:val="lowerLetter"/>
      <w:lvlText w:val="%2."/>
      <w:lvlJc w:val="left"/>
      <w:pPr>
        <w:ind w:left="1788" w:hanging="360"/>
      </w:pPr>
    </w:lvl>
    <w:lvl w:ilvl="2" w:tplc="8EDE6030">
      <w:start w:val="1"/>
      <w:numFmt w:val="lowerRoman"/>
      <w:lvlText w:val="%3."/>
      <w:lvlJc w:val="right"/>
      <w:pPr>
        <w:ind w:left="2508" w:hanging="180"/>
      </w:pPr>
    </w:lvl>
    <w:lvl w:ilvl="3" w:tplc="7CBEEABA">
      <w:start w:val="1"/>
      <w:numFmt w:val="decimal"/>
      <w:lvlText w:val="%4."/>
      <w:lvlJc w:val="left"/>
      <w:pPr>
        <w:ind w:left="3228" w:hanging="360"/>
      </w:pPr>
    </w:lvl>
    <w:lvl w:ilvl="4" w:tplc="9EFCA8DE">
      <w:start w:val="1"/>
      <w:numFmt w:val="lowerLetter"/>
      <w:lvlText w:val="%5."/>
      <w:lvlJc w:val="left"/>
      <w:pPr>
        <w:ind w:left="3948" w:hanging="360"/>
      </w:pPr>
    </w:lvl>
    <w:lvl w:ilvl="5" w:tplc="BA88692C">
      <w:start w:val="1"/>
      <w:numFmt w:val="lowerRoman"/>
      <w:lvlText w:val="%6."/>
      <w:lvlJc w:val="right"/>
      <w:pPr>
        <w:ind w:left="4668" w:hanging="180"/>
      </w:pPr>
    </w:lvl>
    <w:lvl w:ilvl="6" w:tplc="28B878E0">
      <w:start w:val="1"/>
      <w:numFmt w:val="decimal"/>
      <w:lvlText w:val="%7."/>
      <w:lvlJc w:val="left"/>
      <w:pPr>
        <w:ind w:left="5388" w:hanging="360"/>
      </w:pPr>
    </w:lvl>
    <w:lvl w:ilvl="7" w:tplc="8FF069FA">
      <w:start w:val="1"/>
      <w:numFmt w:val="lowerLetter"/>
      <w:lvlText w:val="%8."/>
      <w:lvlJc w:val="left"/>
      <w:pPr>
        <w:ind w:left="6108" w:hanging="360"/>
      </w:pPr>
    </w:lvl>
    <w:lvl w:ilvl="8" w:tplc="30603ADC">
      <w:start w:val="1"/>
      <w:numFmt w:val="lowerRoman"/>
      <w:lvlText w:val="%9."/>
      <w:lvlJc w:val="right"/>
      <w:pPr>
        <w:ind w:left="6828" w:hanging="180"/>
      </w:pPr>
    </w:lvl>
  </w:abstractNum>
  <w:abstractNum w:abstractNumId="4" w15:restartNumberingAfterBreak="0">
    <w:nsid w:val="5D6B158F"/>
    <w:multiLevelType w:val="hybridMultilevel"/>
    <w:tmpl w:val="8AD6C7D0"/>
    <w:lvl w:ilvl="0" w:tplc="0BA0488A">
      <w:start w:val="1"/>
      <w:numFmt w:val="bullet"/>
      <w:lvlText w:val=""/>
      <w:lvlJc w:val="left"/>
      <w:pPr>
        <w:ind w:left="720" w:hanging="360"/>
      </w:pPr>
      <w:rPr>
        <w:rFonts w:ascii="Symbol" w:hAnsi="Symbol" w:hint="default"/>
      </w:rPr>
    </w:lvl>
    <w:lvl w:ilvl="1" w:tplc="4B2A015E">
      <w:start w:val="1"/>
      <w:numFmt w:val="bullet"/>
      <w:lvlText w:val="o"/>
      <w:lvlJc w:val="left"/>
      <w:pPr>
        <w:ind w:left="1440" w:hanging="360"/>
      </w:pPr>
      <w:rPr>
        <w:rFonts w:ascii="Courier New" w:hAnsi="Courier New" w:hint="default"/>
      </w:rPr>
    </w:lvl>
    <w:lvl w:ilvl="2" w:tplc="BD0E346E">
      <w:start w:val="1"/>
      <w:numFmt w:val="bullet"/>
      <w:lvlText w:val=""/>
      <w:lvlJc w:val="left"/>
      <w:pPr>
        <w:ind w:left="2160" w:hanging="360"/>
      </w:pPr>
      <w:rPr>
        <w:rFonts w:ascii="Wingdings" w:hAnsi="Wingdings" w:hint="default"/>
      </w:rPr>
    </w:lvl>
    <w:lvl w:ilvl="3" w:tplc="C4D22222">
      <w:start w:val="1"/>
      <w:numFmt w:val="bullet"/>
      <w:lvlText w:val=""/>
      <w:lvlJc w:val="left"/>
      <w:pPr>
        <w:ind w:left="2880" w:hanging="360"/>
      </w:pPr>
      <w:rPr>
        <w:rFonts w:ascii="Symbol" w:hAnsi="Symbol" w:hint="default"/>
      </w:rPr>
    </w:lvl>
    <w:lvl w:ilvl="4" w:tplc="CCA8C460">
      <w:start w:val="1"/>
      <w:numFmt w:val="bullet"/>
      <w:lvlText w:val="o"/>
      <w:lvlJc w:val="left"/>
      <w:pPr>
        <w:ind w:left="3600" w:hanging="360"/>
      </w:pPr>
      <w:rPr>
        <w:rFonts w:ascii="Courier New" w:hAnsi="Courier New" w:hint="default"/>
      </w:rPr>
    </w:lvl>
    <w:lvl w:ilvl="5" w:tplc="13645572">
      <w:start w:val="1"/>
      <w:numFmt w:val="bullet"/>
      <w:lvlText w:val=""/>
      <w:lvlJc w:val="left"/>
      <w:pPr>
        <w:ind w:left="4320" w:hanging="360"/>
      </w:pPr>
      <w:rPr>
        <w:rFonts w:ascii="Wingdings" w:hAnsi="Wingdings" w:hint="default"/>
      </w:rPr>
    </w:lvl>
    <w:lvl w:ilvl="6" w:tplc="656EC1EA">
      <w:start w:val="1"/>
      <w:numFmt w:val="bullet"/>
      <w:lvlText w:val=""/>
      <w:lvlJc w:val="left"/>
      <w:pPr>
        <w:ind w:left="5040" w:hanging="360"/>
      </w:pPr>
      <w:rPr>
        <w:rFonts w:ascii="Symbol" w:hAnsi="Symbol" w:hint="default"/>
      </w:rPr>
    </w:lvl>
    <w:lvl w:ilvl="7" w:tplc="C2548E48">
      <w:start w:val="1"/>
      <w:numFmt w:val="bullet"/>
      <w:lvlText w:val="o"/>
      <w:lvlJc w:val="left"/>
      <w:pPr>
        <w:ind w:left="5760" w:hanging="360"/>
      </w:pPr>
      <w:rPr>
        <w:rFonts w:ascii="Courier New" w:hAnsi="Courier New" w:hint="default"/>
      </w:rPr>
    </w:lvl>
    <w:lvl w:ilvl="8" w:tplc="D92AA71C">
      <w:start w:val="1"/>
      <w:numFmt w:val="bullet"/>
      <w:lvlText w:val=""/>
      <w:lvlJc w:val="left"/>
      <w:pPr>
        <w:ind w:left="6480" w:hanging="360"/>
      </w:pPr>
      <w:rPr>
        <w:rFonts w:ascii="Wingdings" w:hAnsi="Wingdings" w:hint="default"/>
      </w:rPr>
    </w:lvl>
  </w:abstractNum>
  <w:abstractNum w:abstractNumId="5" w15:restartNumberingAfterBreak="0">
    <w:nsid w:val="668C634B"/>
    <w:multiLevelType w:val="hybridMultilevel"/>
    <w:tmpl w:val="F8A209EC"/>
    <w:lvl w:ilvl="0" w:tplc="ECD2BBD4">
      <w:start w:val="1"/>
      <w:numFmt w:val="decimal"/>
      <w:lvlText w:val="%1."/>
      <w:lvlJc w:val="left"/>
      <w:pPr>
        <w:ind w:left="720" w:hanging="360"/>
      </w:pPr>
    </w:lvl>
    <w:lvl w:ilvl="1" w:tplc="6B5E55E0">
      <w:start w:val="1"/>
      <w:numFmt w:val="lowerLetter"/>
      <w:lvlText w:val="%2."/>
      <w:lvlJc w:val="left"/>
      <w:pPr>
        <w:ind w:left="1440" w:hanging="360"/>
      </w:pPr>
    </w:lvl>
    <w:lvl w:ilvl="2" w:tplc="0B3EA4E0">
      <w:start w:val="1"/>
      <w:numFmt w:val="lowerRoman"/>
      <w:lvlText w:val="%3."/>
      <w:lvlJc w:val="right"/>
      <w:pPr>
        <w:ind w:left="2160" w:hanging="180"/>
      </w:pPr>
    </w:lvl>
    <w:lvl w:ilvl="3" w:tplc="A7946D3E">
      <w:start w:val="1"/>
      <w:numFmt w:val="decimal"/>
      <w:lvlText w:val="%4."/>
      <w:lvlJc w:val="left"/>
      <w:pPr>
        <w:ind w:left="2880" w:hanging="360"/>
      </w:pPr>
    </w:lvl>
    <w:lvl w:ilvl="4" w:tplc="454E55EE">
      <w:start w:val="1"/>
      <w:numFmt w:val="lowerLetter"/>
      <w:lvlText w:val="%5."/>
      <w:lvlJc w:val="left"/>
      <w:pPr>
        <w:ind w:left="3600" w:hanging="360"/>
      </w:pPr>
    </w:lvl>
    <w:lvl w:ilvl="5" w:tplc="1D6AEEF2">
      <w:start w:val="1"/>
      <w:numFmt w:val="lowerRoman"/>
      <w:lvlText w:val="%6."/>
      <w:lvlJc w:val="right"/>
      <w:pPr>
        <w:ind w:left="4320" w:hanging="180"/>
      </w:pPr>
    </w:lvl>
    <w:lvl w:ilvl="6" w:tplc="7DA47994">
      <w:start w:val="1"/>
      <w:numFmt w:val="decimal"/>
      <w:lvlText w:val="%7."/>
      <w:lvlJc w:val="left"/>
      <w:pPr>
        <w:ind w:left="5040" w:hanging="360"/>
      </w:pPr>
    </w:lvl>
    <w:lvl w:ilvl="7" w:tplc="C630C84E">
      <w:start w:val="1"/>
      <w:numFmt w:val="lowerLetter"/>
      <w:lvlText w:val="%8."/>
      <w:lvlJc w:val="left"/>
      <w:pPr>
        <w:ind w:left="5760" w:hanging="360"/>
      </w:pPr>
    </w:lvl>
    <w:lvl w:ilvl="8" w:tplc="05A02C38">
      <w:start w:val="1"/>
      <w:numFmt w:val="lowerRoman"/>
      <w:lvlText w:val="%9."/>
      <w:lvlJc w:val="right"/>
      <w:pPr>
        <w:ind w:left="6480" w:hanging="180"/>
      </w:pPr>
    </w:lvl>
  </w:abstractNum>
  <w:abstractNum w:abstractNumId="6" w15:restartNumberingAfterBreak="0">
    <w:nsid w:val="6E046BCB"/>
    <w:multiLevelType w:val="hybridMultilevel"/>
    <w:tmpl w:val="33E40CD8"/>
    <w:lvl w:ilvl="0" w:tplc="29BEBA64">
      <w:start w:val="1"/>
      <w:numFmt w:val="decimal"/>
      <w:lvlText w:val="%1."/>
      <w:lvlJc w:val="left"/>
      <w:pPr>
        <w:ind w:left="720" w:hanging="360"/>
      </w:pPr>
    </w:lvl>
    <w:lvl w:ilvl="1" w:tplc="14788038">
      <w:start w:val="1"/>
      <w:numFmt w:val="lowerLetter"/>
      <w:lvlText w:val="%2."/>
      <w:lvlJc w:val="left"/>
      <w:pPr>
        <w:ind w:left="1440" w:hanging="360"/>
      </w:pPr>
    </w:lvl>
    <w:lvl w:ilvl="2" w:tplc="8812AF14">
      <w:start w:val="1"/>
      <w:numFmt w:val="lowerRoman"/>
      <w:lvlText w:val="%3."/>
      <w:lvlJc w:val="right"/>
      <w:pPr>
        <w:ind w:left="2160" w:hanging="180"/>
      </w:pPr>
    </w:lvl>
    <w:lvl w:ilvl="3" w:tplc="11068E18">
      <w:start w:val="1"/>
      <w:numFmt w:val="decimal"/>
      <w:lvlText w:val="%4."/>
      <w:lvlJc w:val="left"/>
      <w:pPr>
        <w:ind w:left="2880" w:hanging="360"/>
      </w:pPr>
    </w:lvl>
    <w:lvl w:ilvl="4" w:tplc="993E7E7A">
      <w:start w:val="1"/>
      <w:numFmt w:val="lowerLetter"/>
      <w:lvlText w:val="%5."/>
      <w:lvlJc w:val="left"/>
      <w:pPr>
        <w:ind w:left="3600" w:hanging="360"/>
      </w:pPr>
    </w:lvl>
    <w:lvl w:ilvl="5" w:tplc="8D58D01C">
      <w:start w:val="1"/>
      <w:numFmt w:val="lowerRoman"/>
      <w:lvlText w:val="%6."/>
      <w:lvlJc w:val="right"/>
      <w:pPr>
        <w:ind w:left="4320" w:hanging="180"/>
      </w:pPr>
    </w:lvl>
    <w:lvl w:ilvl="6" w:tplc="40B84ECC">
      <w:start w:val="1"/>
      <w:numFmt w:val="decimal"/>
      <w:lvlText w:val="%7."/>
      <w:lvlJc w:val="left"/>
      <w:pPr>
        <w:ind w:left="5040" w:hanging="360"/>
      </w:pPr>
    </w:lvl>
    <w:lvl w:ilvl="7" w:tplc="457CF764">
      <w:start w:val="1"/>
      <w:numFmt w:val="lowerLetter"/>
      <w:lvlText w:val="%8."/>
      <w:lvlJc w:val="left"/>
      <w:pPr>
        <w:ind w:left="5760" w:hanging="360"/>
      </w:pPr>
    </w:lvl>
    <w:lvl w:ilvl="8" w:tplc="77402C2A">
      <w:start w:val="1"/>
      <w:numFmt w:val="lowerRoman"/>
      <w:lvlText w:val="%9."/>
      <w:lvlJc w:val="right"/>
      <w:pPr>
        <w:ind w:left="6480" w:hanging="180"/>
      </w:pPr>
    </w:lvl>
  </w:abstractNum>
  <w:num w:numId="1" w16cid:durableId="43339256">
    <w:abstractNumId w:val="0"/>
  </w:num>
  <w:num w:numId="2" w16cid:durableId="1664428701">
    <w:abstractNumId w:val="4"/>
  </w:num>
  <w:num w:numId="3" w16cid:durableId="328994137">
    <w:abstractNumId w:val="2"/>
  </w:num>
  <w:num w:numId="4" w16cid:durableId="878250290">
    <w:abstractNumId w:val="6"/>
  </w:num>
  <w:num w:numId="5" w16cid:durableId="1717006173">
    <w:abstractNumId w:val="3"/>
  </w:num>
  <w:num w:numId="6" w16cid:durableId="1973100410">
    <w:abstractNumId w:val="1"/>
  </w:num>
  <w:num w:numId="7" w16cid:durableId="49676897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2CE4AD1"/>
    <w:rsid w:val="00086AC3"/>
    <w:rsid w:val="000C1B1B"/>
    <w:rsid w:val="001577FA"/>
    <w:rsid w:val="001B3286"/>
    <w:rsid w:val="00272DA7"/>
    <w:rsid w:val="00287D46"/>
    <w:rsid w:val="00297A4E"/>
    <w:rsid w:val="002F74A0"/>
    <w:rsid w:val="003E07A1"/>
    <w:rsid w:val="005152A4"/>
    <w:rsid w:val="00573CA6"/>
    <w:rsid w:val="00597C42"/>
    <w:rsid w:val="005C31F4"/>
    <w:rsid w:val="005F7585"/>
    <w:rsid w:val="00601805"/>
    <w:rsid w:val="006A7355"/>
    <w:rsid w:val="006E54C6"/>
    <w:rsid w:val="00717B24"/>
    <w:rsid w:val="00795C91"/>
    <w:rsid w:val="00821C4C"/>
    <w:rsid w:val="00864328"/>
    <w:rsid w:val="00930FC4"/>
    <w:rsid w:val="009F7123"/>
    <w:rsid w:val="00A44FDB"/>
    <w:rsid w:val="00A94A57"/>
    <w:rsid w:val="00B226B0"/>
    <w:rsid w:val="00C77FBA"/>
    <w:rsid w:val="00CC0953"/>
    <w:rsid w:val="00D146D1"/>
    <w:rsid w:val="00D9297F"/>
    <w:rsid w:val="00DA2222"/>
    <w:rsid w:val="00EA0789"/>
    <w:rsid w:val="00ED108E"/>
    <w:rsid w:val="00EE3F44"/>
    <w:rsid w:val="00EE70E2"/>
    <w:rsid w:val="00EF4885"/>
    <w:rsid w:val="00FC2A00"/>
    <w:rsid w:val="0259CEAD"/>
    <w:rsid w:val="02648952"/>
    <w:rsid w:val="03A4B828"/>
    <w:rsid w:val="08CE77B7"/>
    <w:rsid w:val="08E47337"/>
    <w:rsid w:val="099A25A3"/>
    <w:rsid w:val="0A117153"/>
    <w:rsid w:val="0CAC1EF1"/>
    <w:rsid w:val="0DA52280"/>
    <w:rsid w:val="0E33CDB5"/>
    <w:rsid w:val="0E68AE32"/>
    <w:rsid w:val="10F8CE66"/>
    <w:rsid w:val="11A04EF4"/>
    <w:rsid w:val="1413B05E"/>
    <w:rsid w:val="14B8FB45"/>
    <w:rsid w:val="14F11813"/>
    <w:rsid w:val="16E26F94"/>
    <w:rsid w:val="16F3638A"/>
    <w:rsid w:val="18ABFAAE"/>
    <w:rsid w:val="19AB60D9"/>
    <w:rsid w:val="19C48936"/>
    <w:rsid w:val="1AEBB8A7"/>
    <w:rsid w:val="1B47313A"/>
    <w:rsid w:val="1C2E94F7"/>
    <w:rsid w:val="1D4BDA91"/>
    <w:rsid w:val="1DCA6558"/>
    <w:rsid w:val="1E7ED1FC"/>
    <w:rsid w:val="1F53A07E"/>
    <w:rsid w:val="1F6635B9"/>
    <w:rsid w:val="217BE716"/>
    <w:rsid w:val="22090458"/>
    <w:rsid w:val="221F4BB4"/>
    <w:rsid w:val="22700418"/>
    <w:rsid w:val="230E597E"/>
    <w:rsid w:val="2317B777"/>
    <w:rsid w:val="2322E3CF"/>
    <w:rsid w:val="23BB1C15"/>
    <w:rsid w:val="241D840E"/>
    <w:rsid w:val="24F60106"/>
    <w:rsid w:val="272A4CDE"/>
    <w:rsid w:val="2858CE4A"/>
    <w:rsid w:val="2986F8FB"/>
    <w:rsid w:val="2B71D7E5"/>
    <w:rsid w:val="2B7E9BB3"/>
    <w:rsid w:val="2CBE99BD"/>
    <w:rsid w:val="2D14E829"/>
    <w:rsid w:val="2E583F0F"/>
    <w:rsid w:val="2E9CE2C6"/>
    <w:rsid w:val="2EB0B88A"/>
    <w:rsid w:val="2F87B7B1"/>
    <w:rsid w:val="30A18CA3"/>
    <w:rsid w:val="30EC6C4C"/>
    <w:rsid w:val="31D4840E"/>
    <w:rsid w:val="330E8CC1"/>
    <w:rsid w:val="338429AD"/>
    <w:rsid w:val="33A0E673"/>
    <w:rsid w:val="33D92D65"/>
    <w:rsid w:val="33E8F912"/>
    <w:rsid w:val="34081295"/>
    <w:rsid w:val="34BCB6A2"/>
    <w:rsid w:val="34FE42FD"/>
    <w:rsid w:val="35223B48"/>
    <w:rsid w:val="3546B0CF"/>
    <w:rsid w:val="35FFE7C3"/>
    <w:rsid w:val="366FD863"/>
    <w:rsid w:val="36BE0BA9"/>
    <w:rsid w:val="39D91F77"/>
    <w:rsid w:val="3A119FDF"/>
    <w:rsid w:val="3A388082"/>
    <w:rsid w:val="3A486EE9"/>
    <w:rsid w:val="3B1441D1"/>
    <w:rsid w:val="3B99460E"/>
    <w:rsid w:val="3BD450E3"/>
    <w:rsid w:val="3BD9C492"/>
    <w:rsid w:val="3CEE7C61"/>
    <w:rsid w:val="3D555081"/>
    <w:rsid w:val="40BA6004"/>
    <w:rsid w:val="40EF4074"/>
    <w:rsid w:val="4115E14F"/>
    <w:rsid w:val="42563065"/>
    <w:rsid w:val="4474E80D"/>
    <w:rsid w:val="44CB1175"/>
    <w:rsid w:val="44E591E3"/>
    <w:rsid w:val="45D66863"/>
    <w:rsid w:val="45FCE330"/>
    <w:rsid w:val="467C86A3"/>
    <w:rsid w:val="46816244"/>
    <w:rsid w:val="49F11441"/>
    <w:rsid w:val="4A29CE76"/>
    <w:rsid w:val="4A6E8CA5"/>
    <w:rsid w:val="4AE42991"/>
    <w:rsid w:val="4C823B2C"/>
    <w:rsid w:val="4CA64C63"/>
    <w:rsid w:val="4CD8B2E6"/>
    <w:rsid w:val="4E70CE0B"/>
    <w:rsid w:val="4EE7783F"/>
    <w:rsid w:val="50442E73"/>
    <w:rsid w:val="52BB419B"/>
    <w:rsid w:val="543CAAF1"/>
    <w:rsid w:val="544A4E60"/>
    <w:rsid w:val="5595C167"/>
    <w:rsid w:val="55D87B52"/>
    <w:rsid w:val="55E03D11"/>
    <w:rsid w:val="561306FA"/>
    <w:rsid w:val="56B36FF7"/>
    <w:rsid w:val="573191C8"/>
    <w:rsid w:val="578CE79A"/>
    <w:rsid w:val="57AED75B"/>
    <w:rsid w:val="584F4058"/>
    <w:rsid w:val="59101C14"/>
    <w:rsid w:val="594AA7BC"/>
    <w:rsid w:val="5A7E228F"/>
    <w:rsid w:val="5C47BCD6"/>
    <w:rsid w:val="5D0B841B"/>
    <w:rsid w:val="5DE38D37"/>
    <w:rsid w:val="5E39DBA3"/>
    <w:rsid w:val="5EBCA856"/>
    <w:rsid w:val="611B2DF9"/>
    <w:rsid w:val="62B6FE5A"/>
    <w:rsid w:val="62CE4AD1"/>
    <w:rsid w:val="630D4CC6"/>
    <w:rsid w:val="6452CEBB"/>
    <w:rsid w:val="651D5A02"/>
    <w:rsid w:val="652FD82B"/>
    <w:rsid w:val="66248548"/>
    <w:rsid w:val="66CBFA1E"/>
    <w:rsid w:val="6794CBDD"/>
    <w:rsid w:val="679B8380"/>
    <w:rsid w:val="67C22E06"/>
    <w:rsid w:val="689F95BB"/>
    <w:rsid w:val="69309C3E"/>
    <w:rsid w:val="695C260A"/>
    <w:rsid w:val="6A517C94"/>
    <w:rsid w:val="6A685CC3"/>
    <w:rsid w:val="6C779F7A"/>
    <w:rsid w:val="6CA571DD"/>
    <w:rsid w:val="6ED6BA71"/>
    <w:rsid w:val="70728AD2"/>
    <w:rsid w:val="70B29526"/>
    <w:rsid w:val="71542C18"/>
    <w:rsid w:val="7277FE72"/>
    <w:rsid w:val="76BE898F"/>
    <w:rsid w:val="76C6351F"/>
    <w:rsid w:val="781F4B95"/>
    <w:rsid w:val="792FB9F7"/>
    <w:rsid w:val="7CB1D81C"/>
    <w:rsid w:val="7D77EFD1"/>
    <w:rsid w:val="7E8813A5"/>
    <w:rsid w:val="7E98B05F"/>
    <w:rsid w:val="7F2CE88F"/>
    <w:rsid w:val="7F3D591D"/>
    <w:rsid w:val="7F68AB9E"/>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CE4AD1"/>
  <w15:chartTrackingRefBased/>
  <w15:docId w15:val="{3A122125-5A0F-C946-90B8-74C416C0B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Pr>
      <w:color w:val="0563C1" w:themeColor="hyperlink"/>
      <w:u w:val="single"/>
    </w:rPr>
  </w:style>
  <w:style w:type="paragraph" w:styleId="Prrafodelista">
    <w:name w:val="List Paragraph"/>
    <w:basedOn w:val="Normal"/>
    <w:uiPriority w:val="34"/>
    <w:qFormat/>
    <w:pPr>
      <w:ind w:left="720"/>
      <w:contextualSpacing/>
    </w:p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character" w:styleId="Mencionar">
    <w:name w:val="Mention"/>
    <w:basedOn w:val="Fuentedeprrafopredeter"/>
    <w:uiPriority w:val="99"/>
    <w:unhideWhenUsed/>
    <w:rPr>
      <w:color w:val="2B579A"/>
      <w:shd w:val="clear" w:color="auto" w:fill="E6E6E6"/>
    </w:rPr>
  </w:style>
  <w:style w:type="paragraph" w:styleId="Encabezado">
    <w:name w:val="header"/>
    <w:basedOn w:val="Normal"/>
    <w:link w:val="EncabezadoCar"/>
    <w:uiPriority w:val="99"/>
    <w:unhideWhenUsed/>
    <w:rsid w:val="00297A4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97A4E"/>
  </w:style>
  <w:style w:type="paragraph" w:styleId="Piedepgina">
    <w:name w:val="footer"/>
    <w:basedOn w:val="Normal"/>
    <w:link w:val="PiedepginaCar"/>
    <w:uiPriority w:val="99"/>
    <w:unhideWhenUsed/>
    <w:rsid w:val="00297A4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297A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ucalidad@educacion.gob.ar"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6</Pages>
  <Words>1326</Words>
  <Characters>7296</Characters>
  <Application>Microsoft Office Word</Application>
  <DocSecurity>0</DocSecurity>
  <Lines>60</Lines>
  <Paragraphs>17</Paragraphs>
  <ScaleCrop>false</ScaleCrop>
  <Company/>
  <LinksUpToDate>false</LinksUpToDate>
  <CharactersWithSpaces>8605</CharactersWithSpaces>
  <SharedDoc>false</SharedDoc>
  <HLinks>
    <vt:vector size="6" baseType="variant">
      <vt:variant>
        <vt:i4>5963815</vt:i4>
      </vt:variant>
      <vt:variant>
        <vt:i4>0</vt:i4>
      </vt:variant>
      <vt:variant>
        <vt:i4>0</vt:i4>
      </vt:variant>
      <vt:variant>
        <vt:i4>5</vt:i4>
      </vt:variant>
      <vt:variant>
        <vt:lpwstr>mailto:spucalidad@educacion.gob.ar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8</cp:revision>
  <cp:lastPrinted>2022-11-07T20:13:00Z</cp:lastPrinted>
  <dcterms:created xsi:type="dcterms:W3CDTF">2022-10-10T00:39:00Z</dcterms:created>
  <dcterms:modified xsi:type="dcterms:W3CDTF">2022-11-07T20:16:00Z</dcterms:modified>
</cp:coreProperties>
</file>